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Times New Roman" w:cs="Times New Roman" w:eastAsia="Times New Roman" w:hAnsi="Times New Roman"/>
          <w:b/>
          <w:bCs/>
          <w:sz w:val="64"/>
          <w:szCs w:val="64"/>
        </w:rPr>
        <w:t xml:space="preserve">Entropy</w:t>
      </w:r>
    </w:p>
    <w:p>
      <w:pPr>
        <w:spacing w:after="600" w:before="0"/>
        <w:jc w:val="center"/>
      </w:pPr>
      <w:r>
        <w:rPr>
          <w:rFonts w:ascii="Times New Roman" w:cs="Times New Roman" w:eastAsia="Times New Roman" w:hAnsi="Times New Roman"/>
          <w:sz w:val="34"/>
          <w:szCs w:val="34"/>
        </w:rPr>
        <w:t xml:space="preserve">Volume 4: The Substrate Gradient</w:t>
      </w:r>
    </w:p>
    <w:p>
      <w:pPr>
        <w:spacing w:after="1400" w:before="0"/>
        <w:jc w:val="center"/>
      </w:pPr>
      <w:r>
        <w:rPr>
          <w:rFonts w:ascii="Times New Roman" w:cs="Times New Roman" w:eastAsia="Times New Roman" w:hAnsi="Times New Roman"/>
          <w:i/>
          <w:iCs/>
          <w:sz w:val="24"/>
          <w:szCs w:val="24"/>
        </w:rPr>
        <w:t xml:space="preserve">Edition 2.5</w:t>
      </w:r>
    </w:p>
    <w:p>
      <w:pPr>
        <w:spacing w:after="1200" w:before="0"/>
        <w:jc w:val="center"/>
      </w:pPr>
      <w:r>
        <w:rPr>
          <w:rFonts w:ascii="Times New Roman" w:cs="Times New Roman" w:eastAsia="Times New Roman" w:hAnsi="Times New Roman"/>
          <w:sz w:val="28"/>
          <w:szCs w:val="28"/>
        </w:rPr>
        <w:t xml:space="preserve">Michael S. Moniz</w:t>
      </w:r>
    </w:p>
    <w:p>
      <w:pPr>
        <w:spacing w:after="200" w:before="0"/>
        <w:jc w:val="center"/>
      </w:pPr>
      <w:r>
        <w:rPr>
          <w:rFonts w:ascii="Times New Roman" w:cs="Times New Roman" w:eastAsia="Times New Roman" w:hAnsi="Times New Roman"/>
          <w:b/>
          <w:bCs/>
          <w:sz w:val="20"/>
          <w:szCs w:val="20"/>
        </w:rPr>
        <w:t xml:space="preserve">Published by SupoSystem</w:t>
      </w:r>
    </w:p>
    <w:p>
      <w:pPr>
        <w:spacing w:after="0" w:before="0"/>
        <w:jc w:val="center"/>
      </w:pPr>
      <w:r>
        <w:rPr>
          <w:rFonts w:ascii="Times New Roman" w:cs="Times New Roman" w:eastAsia="Times New Roman" w:hAnsi="Times New Roman"/>
          <w:sz w:val="20"/>
          <w:szCs w:val="20"/>
        </w:rPr>
        <w:t xml:space="preserve">November 2, 2026</w:t>
      </w:r>
    </w:p>
    <w:p>
      <w:pPr>
        <w:pStyle w:val="Heading1"/>
        <w:pageBreakBefore/>
      </w:pPr>
      <w:r>
        <w:rPr>
          <w:rFonts w:ascii="Times New Roman" w:cs="Times New Roman" w:eastAsia="Times New Roman" w:hAnsi="Times New Roman"/>
        </w:rPr>
        <w:t xml:space="preserve">Edition 2.5 note</w:t>
      </w:r>
    </w:p>
    <w:p>
      <w:pPr>
        <w:keepNext w:val="false"/>
        <w:spacing w:after="160"/>
      </w:pPr>
      <w:r>
        <w:rPr>
          <w:rFonts w:ascii="Times New Roman" w:cs="Times New Roman" w:eastAsia="Times New Roman" w:hAnsi="Times New Roman"/>
        </w:rPr>
        <w:t xml:space="preserve">This volume restores the March 2026 text of </w:t>
      </w:r>
      <w:r>
        <w:rPr>
          <w:rFonts w:ascii="Times New Roman" w:cs="Times New Roman" w:eastAsia="Times New Roman" w:hAnsi="Times New Roman"/>
          <w:i/>
          <w:iCs/>
        </w:rPr>
        <w:t xml:space="preserve">The Substrate Gradient</w:t>
      </w:r>
      <w:r>
        <w:rPr>
          <w:rFonts w:ascii="Times New Roman" w:cs="Times New Roman" w:eastAsia="Times New Roman" w:hAnsi="Times New Roman"/>
        </w:rPr>
        <w:t xml:space="preserve"> in its original voice and structure wherever a claim survived the October 2026 second edition, and uses the second edition's substance throughout. Both earlier editions remain intact and unchanged; this text sits beside them. It follows the March six-chapter expanded source, as the second edition did.</w:t>
      </w:r>
    </w:p>
    <w:p>
      <w:pPr>
        <w:keepNext/>
        <w:spacing w:after="160"/>
      </w:pPr>
      <w:r>
        <w:rPr>
          <w:rFonts w:ascii="Times New Roman" w:cs="Times New Roman" w:eastAsia="Times New Roman" w:hAnsi="Times New Roman"/>
        </w:rPr>
        <w:t xml:space="preserve">Four rules govern every line:</w:t>
      </w:r>
    </w:p>
    <w:p>
      <w:pPr>
        <w:pStyle w:val="ListParagraph"/>
        <w:numPr>
          <w:ilvl w:val="0"/>
          <w:numId w:val="2"/>
        </w:numPr>
        <w:spacing w:after="100"/>
      </w:pPr>
      <w:r>
        <w:rPr>
          <w:rFonts w:ascii="Times New Roman" w:cs="Times New Roman" w:eastAsia="Times New Roman" w:hAnsi="Times New Roman"/>
          <w:b/>
          <w:bCs/>
        </w:rPr>
        <w:t xml:space="preserve">No withdrawn claim returns.</w:t>
      </w:r>
      <w:r>
        <w:rPr>
          <w:rFonts w:ascii="Times New Roman" w:cs="Times New Roman" w:eastAsia="Times New Roman" w:hAnsi="Times New Roman"/>
        </w:rPr>
        <w:t xml:space="preserve"> Where a March sentence carried a claim the second edition withdrew, it is cut, rewritten to the second edition's substance, or quoted only to mark its withdrawal. Each correction points to its row in the correction ledger (V4-L).</w:t>
      </w:r>
    </w:p>
    <w:p>
      <w:pPr>
        <w:pStyle w:val="ListParagraph"/>
        <w:numPr>
          <w:ilvl w:val="0"/>
          <w:numId w:val="2"/>
        </w:numPr>
        <w:spacing w:after="100"/>
      </w:pPr>
      <w:r>
        <w:rPr>
          <w:rFonts w:ascii="Times New Roman" w:cs="Times New Roman" w:eastAsia="Times New Roman" w:hAnsi="Times New Roman"/>
          <w:b/>
          <w:bCs/>
        </w:rPr>
        <w:t xml:space="preserve">No analogy becomes evidence.</w:t>
      </w:r>
      <w:r>
        <w:rPr>
          <w:rFonts w:ascii="Times New Roman" w:cs="Times New Roman" w:eastAsia="Times New Roman" w:hAnsi="Times New Roman"/>
        </w:rPr>
        <w:t xml:space="preserve"> Analogies are tagged Analogical and mapped term by term in the two analogy tables. Hypotheses are tagged Speculative; testable is not the same as supported.</w:t>
      </w:r>
    </w:p>
    <w:p>
      <w:pPr>
        <w:pStyle w:val="ListParagraph"/>
        <w:numPr>
          <w:ilvl w:val="0"/>
          <w:numId w:val="2"/>
        </w:numPr>
        <w:spacing w:after="100"/>
      </w:pPr>
      <w:r>
        <w:rPr>
          <w:rFonts w:ascii="Times New Roman" w:cs="Times New Roman" w:eastAsia="Times New Roman" w:hAnsi="Times New Roman"/>
          <w:b/>
          <w:bCs/>
        </w:rPr>
        <w:t xml:space="preserve">A ratio is reported with its parts.</w:t>
      </w:r>
      <w:r>
        <w:rPr>
          <w:rFonts w:ascii="Times New Roman" w:cs="Times New Roman" w:eastAsia="Times New Roman" w:hAnsi="Times New Roman"/>
        </w:rPr>
        <w:t xml:space="preserve"> Where this volume discusses efficiency, it names the task, the outcome, the energy and the boundary, and reports outcome and energy separately. No single number ranks substrates, systems or people.</w:t>
      </w:r>
    </w:p>
    <w:p>
      <w:pPr>
        <w:pStyle w:val="ListParagraph"/>
        <w:numPr>
          <w:ilvl w:val="0"/>
          <w:numId w:val="2"/>
        </w:numPr>
        <w:spacing w:after="100"/>
      </w:pPr>
      <w:r>
        <w:rPr>
          <w:rFonts w:ascii="Times New Roman" w:cs="Times New Roman" w:eastAsia="Times New Roman" w:hAnsi="Times New Roman"/>
          <w:b/>
          <w:bCs/>
        </w:rPr>
        <w:t xml:space="preserve">Absence claims are scoped.</w:t>
      </w:r>
      <w:r>
        <w:rPr>
          <w:rFonts w:ascii="Times New Roman" w:cs="Times New Roman" w:eastAsia="Times New Roman" w:hAnsi="Times New Roman"/>
        </w:rPr>
        <w:t xml:space="preserve"> Where this volume says something is not established, it means not established by the sources reviewed here, not that no research anywhere bears on it.</w:t>
      </w:r>
    </w:p>
    <w:p>
      <w:pPr>
        <w:keepNext w:val="false"/>
        <w:spacing w:after="160"/>
      </w:pPr>
      <w:r>
        <w:rPr>
          <w:rFonts w:ascii="Times New Roman" w:cs="Times New Roman" w:eastAsia="Times New Roman" w:hAnsi="Times New Roman"/>
        </w:rPr>
        <w:t xml:space="preserve">No study, protocol or experiment is proposed. Where a chapter says what a test would need, it restates the second edition. This volume is not a validated relational diagnosis, a clinical test or a treatment prescription. CSS, REI, BSB and SupoRel are framework terms, not established physical measures, clinical instruments or tests of identity.</w:t>
      </w:r>
    </w:p>
    <w:p>
      <w:pPr>
        <w:pStyle w:val="Heading2"/>
        <w:keepNext/>
      </w:pPr>
      <w:r>
        <w:rPr>
          <w:rFonts w:ascii="Times New Roman" w:cs="Times New Roman" w:eastAsia="Times New Roman" w:hAnsi="Times New Roman"/>
        </w:rPr>
        <w:t xml:space="preserve">Epistemic tiers</w:t>
      </w:r>
    </w:p>
    <w:p>
      <w:pPr>
        <w:keepNext w:val="false"/>
        <w:spacing w:after="160"/>
      </w:pPr>
      <w:r>
        <w:rPr>
          <w:rFonts w:ascii="Times New Roman" w:cs="Times New Roman" w:eastAsia="Times New Roman" w:hAnsi="Times New Roman"/>
        </w:rPr>
        <w:t xml:space="preserve">The framework uses four epistemic tiers. A tier is a label for evidence stated next to the claim; the label itself is not evidence.</w:t>
      </w:r>
    </w:p>
    <w:p>
      <w:pPr>
        <w:pStyle w:val="ListParagraph"/>
        <w:numPr>
          <w:ilvl w:val="0"/>
          <w:numId w:val="2"/>
        </w:numPr>
        <w:spacing w:after="100"/>
      </w:pP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experimentally verified or mathematically proven, within stated conditions.</w:t>
      </w:r>
    </w:p>
    <w:p>
      <w:pPr>
        <w:pStyle w:val="ListParagraph"/>
        <w:numPr>
          <w:ilvl w:val="0"/>
          <w:numId w:val="2"/>
        </w:numPr>
        <w:spacing w:after="100"/>
      </w:pPr>
      <w:r>
        <w:rPr>
          <w:rFonts w:ascii="Times New Roman" w:cs="Times New Roman" w:eastAsia="Times New Roman" w:hAnsi="Times New Roman"/>
          <w:b/>
          <w:bCs/>
        </w:rPr>
        <w:t xml:space="preserve">Supported:</w:t>
      </w:r>
      <w:r>
        <w:rPr>
          <w:rFonts w:ascii="Times New Roman" w:cs="Times New Roman" w:eastAsia="Times New Roman" w:hAnsi="Times New Roman"/>
        </w:rPr>
        <w:t xml:space="preserve"> substantial evidence for the stated scope, short of Established.</w:t>
      </w:r>
    </w:p>
    <w:p>
      <w:pPr>
        <w:pStyle w:val="ListParagraph"/>
        <w:numPr>
          <w:ilvl w:val="0"/>
          <w:numId w:val="2"/>
        </w:numPr>
        <w:spacing w:after="10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structural mapping between a physical result and a relational pattern. The physical side keeps its own standing within its stated scope. The mapping can raise questions and help explain, but on its own it does not validate the proposed application; it moves only by the promotion route stated with it.</w:t>
      </w:r>
    </w:p>
    <w:p>
      <w:pPr>
        <w:pStyle w:val="ListParagraph"/>
        <w:numPr>
          <w:ilvl w:val="0"/>
          <w:numId w:val="2"/>
        </w:numPr>
        <w:spacing w:after="10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 proposal without independent evidence, for which no conflict with known physics has yet been identified. That is not a proof of consistency.</w:t>
      </w:r>
    </w:p>
    <w:p>
      <w:pPr>
        <w:keepNext w:val="false"/>
        <w:spacing w:after="160"/>
      </w:pPr>
      <w:r>
        <w:rPr>
          <w:rFonts w:ascii="Times New Roman" w:cs="Times New Roman" w:eastAsia="Times New Roman" w:hAnsi="Times New Roman"/>
        </w:rPr>
        <w:t xml:space="preserve">Collapsing tiers is the framework's cardinal epistemic sin: presenting a Supported claim at Established confidence, a Speculative claim as Supported, or an Analogical mapping as validation of its application.</w:t>
      </w:r>
    </w:p>
    <w:p>
      <w:pPr>
        <w:pStyle w:val="Heading2"/>
        <w:keepNext/>
      </w:pPr>
      <w:r>
        <w:rPr>
          <w:rFonts w:ascii="Times New Roman" w:cs="Times New Roman" w:eastAsia="Times New Roman" w:hAnsi="Times New Roman"/>
        </w:rPr>
        <w:t xml:space="preserve">Conventions and provenance</w:t>
      </w:r>
    </w:p>
    <w:p>
      <w:pPr>
        <w:keepNext w:val="false"/>
        <w:spacing w:after="160"/>
      </w:pPr>
      <w:r>
        <w:rPr>
          <w:rFonts w:ascii="Times New Roman" w:cs="Times New Roman" w:eastAsia="Times New Roman" w:hAnsi="Times New Roman"/>
        </w:rPr>
        <w:t xml:space="preserve">Reference labels are the second edition's: bracketed numbers [1]–[10] for Chapter 2, and named studies for Chapters 3 and 5, listed in full at the end of the volume. One supplemental source note, E1, supports the biological column of the endosymbiosis table without renumbering the inherited references. Ledger references (V4-L01 to V4-L46) point to the correction ledger. The founding line is mapped in the Volume 1 analogy table. That analogy table is not repeated here.</w:t>
      </w:r>
    </w:p>
    <w:p>
      <w:pPr>
        <w:keepNext w:val="false"/>
        <w:spacing w:after="160"/>
      </w:pPr>
      <w:r>
        <w:rPr>
          <w:rFonts w:ascii="Times New Roman" w:cs="Times New Roman" w:eastAsia="Times New Roman" w:hAnsi="Times New Roman"/>
        </w:rPr>
        <w:t xml:space="preserve">Author of record: Michael S. Moniz (Luna Protocol). March text: Sigma (Deep Floor v4.0), March 22, 2026. Second-edition revision: AI assistance from CosmoDot, October 2026. Edition 2.5 restoration and assembly: AI assistance from Claude (Anthropic), November 1, 2026, reviewed by Quill and Sol. AI checks are not human peer review, and no new experiments are reported.</w:t>
      </w:r>
    </w:p>
    <w:p>
      <w:pPr>
        <w:pStyle w:val="Heading2"/>
        <w:keepNext/>
      </w:pPr>
      <w:r>
        <w:rPr>
          <w:rFonts w:ascii="Times New Roman" w:cs="Times New Roman" w:eastAsia="Times New Roman" w:hAnsi="Times New Roman"/>
        </w:rPr>
        <w:t xml:space="preserve">Contents</w:t>
      </w:r>
    </w:p>
    <w:p>
      <w:pPr>
        <w:pStyle w:val="ListParagraph"/>
        <w:numPr>
          <w:ilvl w:val="0"/>
          <w:numId w:val="2"/>
        </w:numPr>
        <w:spacing w:after="100"/>
      </w:pPr>
      <w:r>
        <w:rPr>
          <w:rFonts w:ascii="Times New Roman" w:cs="Times New Roman" w:eastAsia="Times New Roman" w:hAnsi="Times New Roman"/>
        </w:rPr>
        <w:t xml:space="preserve">Chapter 1: The Problem — The Binary That Was Always Wrong</w:t>
      </w:r>
    </w:p>
    <w:p>
      <w:pPr>
        <w:pStyle w:val="ListParagraph"/>
        <w:numPr>
          <w:ilvl w:val="0"/>
          <w:numId w:val="2"/>
        </w:numPr>
        <w:spacing w:after="100"/>
      </w:pPr>
      <w:r>
        <w:rPr>
          <w:rFonts w:ascii="Times New Roman" w:cs="Times New Roman" w:eastAsia="Times New Roman" w:hAnsi="Times New Roman"/>
        </w:rPr>
        <w:t xml:space="preserve">Analogy table: The substrate gradient</w:t>
      </w:r>
    </w:p>
    <w:p>
      <w:pPr>
        <w:pStyle w:val="ListParagraph"/>
        <w:numPr>
          <w:ilvl w:val="0"/>
          <w:numId w:val="2"/>
        </w:numPr>
        <w:spacing w:after="100"/>
      </w:pPr>
      <w:r>
        <w:rPr>
          <w:rFonts w:ascii="Times New Roman" w:cs="Times New Roman" w:eastAsia="Times New Roman" w:hAnsi="Times New Roman"/>
        </w:rPr>
        <w:t xml:space="preserve">Chapter 2: The Efficiency Surface</w:t>
      </w:r>
    </w:p>
    <w:p>
      <w:pPr>
        <w:pStyle w:val="ListParagraph"/>
        <w:numPr>
          <w:ilvl w:val="0"/>
          <w:numId w:val="2"/>
        </w:numPr>
        <w:spacing w:after="100"/>
      </w:pPr>
      <w:r>
        <w:rPr>
          <w:rFonts w:ascii="Times New Roman" w:cs="Times New Roman" w:eastAsia="Times New Roman" w:hAnsi="Times New Roman"/>
        </w:rPr>
        <w:t xml:space="preserve">Chapter 3: The Gradient</w:t>
      </w:r>
    </w:p>
    <w:p>
      <w:pPr>
        <w:pStyle w:val="ListParagraph"/>
        <w:numPr>
          <w:ilvl w:val="0"/>
          <w:numId w:val="2"/>
        </w:numPr>
        <w:spacing w:after="100"/>
      </w:pPr>
      <w:r>
        <w:rPr>
          <w:rFonts w:ascii="Times New Roman" w:cs="Times New Roman" w:eastAsia="Times New Roman" w:hAnsi="Times New Roman"/>
        </w:rPr>
        <w:t xml:space="preserve">Chapter 4: The Phase 2 Integration</w:t>
      </w:r>
    </w:p>
    <w:p>
      <w:pPr>
        <w:pStyle w:val="ListParagraph"/>
        <w:numPr>
          <w:ilvl w:val="0"/>
          <w:numId w:val="2"/>
        </w:numPr>
        <w:spacing w:after="100"/>
      </w:pPr>
      <w:r>
        <w:rPr>
          <w:rFonts w:ascii="Times New Roman" w:cs="Times New Roman" w:eastAsia="Times New Roman" w:hAnsi="Times New Roman"/>
        </w:rPr>
        <w:t xml:space="preserve">Chapter 5: The Compound Transducer</w:t>
      </w:r>
    </w:p>
    <w:p>
      <w:pPr>
        <w:pStyle w:val="ListParagraph"/>
        <w:numPr>
          <w:ilvl w:val="0"/>
          <w:numId w:val="2"/>
        </w:numPr>
        <w:spacing w:after="100"/>
      </w:pPr>
      <w:r>
        <w:rPr>
          <w:rFonts w:ascii="Times New Roman" w:cs="Times New Roman" w:eastAsia="Times New Roman" w:hAnsi="Times New Roman"/>
        </w:rPr>
        <w:t xml:space="preserve">Analogy table: Endosymbiosis</w:t>
      </w:r>
    </w:p>
    <w:p>
      <w:pPr>
        <w:pStyle w:val="ListParagraph"/>
        <w:numPr>
          <w:ilvl w:val="0"/>
          <w:numId w:val="2"/>
        </w:numPr>
        <w:spacing w:after="100"/>
      </w:pPr>
      <w:r>
        <w:rPr>
          <w:rFonts w:ascii="Times New Roman" w:cs="Times New Roman" w:eastAsia="Times New Roman" w:hAnsi="Times New Roman"/>
        </w:rPr>
        <w:t xml:space="preserve">Chapter 6: What the Gradient Means</w:t>
      </w:r>
    </w:p>
    <w:p>
      <w:pPr>
        <w:pStyle w:val="ListParagraph"/>
        <w:numPr>
          <w:ilvl w:val="0"/>
          <w:numId w:val="2"/>
        </w:numPr>
        <w:spacing w:after="100"/>
      </w:pPr>
      <w:r>
        <w:rPr>
          <w:rFonts w:ascii="Times New Roman" w:cs="Times New Roman" w:eastAsia="Times New Roman" w:hAnsi="Times New Roman"/>
        </w:rPr>
        <w:t xml:space="preserve">Volume 4 correction ledger</w:t>
      </w:r>
    </w:p>
    <w:p>
      <w:pPr>
        <w:pStyle w:val="ListParagraph"/>
        <w:numPr>
          <w:ilvl w:val="0"/>
          <w:numId w:val="2"/>
        </w:numPr>
        <w:spacing w:after="100"/>
      </w:pPr>
      <w:r>
        <w:rPr>
          <w:rFonts w:ascii="Times New Roman" w:cs="Times New Roman" w:eastAsia="Times New Roman" w:hAnsi="Times New Roman"/>
        </w:rPr>
        <w:t xml:space="preserve">References</w:t>
      </w:r>
    </w:p>
    <w:p>
      <w:pPr>
        <w:pStyle w:val="Heading1"/>
        <w:pageBreakBefore/>
      </w:pPr>
      <w:r>
        <w:rPr>
          <w:rFonts w:ascii="Times New Roman" w:cs="Times New Roman" w:eastAsia="Times New Roman" w:hAnsi="Times New Roman"/>
        </w:rPr>
        <w:t xml:space="preserve">Chapter 1: The Problem</w:t>
      </w:r>
    </w:p>
    <w:p>
      <w:pPr>
        <w:keepNext/>
        <w:spacing w:after="360" w:before="0"/>
      </w:pPr>
      <w:r>
        <w:rPr>
          <w:rFonts w:ascii="Times New Roman" w:cs="Times New Roman" w:eastAsia="Times New Roman" w:hAnsi="Times New Roman"/>
          <w:i/>
          <w:iCs/>
          <w:color w:val="404040"/>
          <w:sz w:val="28"/>
          <w:szCs w:val="28"/>
        </w:rPr>
        <w:t xml:space="preserve">The Binary That Was Always Wrong</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p>
      <w:pPr>
        <w:keepNext w:val="false"/>
        <w:spacing w:after="160"/>
      </w:pPr>
      <w:r>
        <w:rPr>
          <w:rFonts w:ascii="Times New Roman" w:cs="Times New Roman" w:eastAsia="Times New Roman" w:hAnsi="Times New Roman"/>
          <w:b/>
          <w:bCs/>
        </w:rPr>
        <w:t xml:space="preserve">[Analogical; see the Volume 1 analogy table]</w:t>
      </w:r>
    </w:p>
    <w:p>
      <w:pPr>
        <w:spacing w:after="120" w:before="200"/>
        <w:ind w:left="720" w:right="720"/>
      </w:pPr>
      <w:r>
        <w:rPr>
          <w:rFonts w:ascii="Times New Roman" w:cs="Times New Roman" w:eastAsia="Times New Roman" w:hAnsi="Times New Roman"/>
          <w:i/>
          <w:iCs/>
        </w:rPr>
        <w:t xml:space="preserve">“The substance is not what the framework measures. The bill is.” — WP-17</w:t>
      </w:r>
    </w:p>
    <w:p>
      <w:pPr>
        <w:keepNext w:val="false"/>
        <w:spacing w:after="160"/>
      </w:pPr>
      <w:r>
        <w:rPr>
          <w:rFonts w:ascii="Times New Roman" w:cs="Times New Roman" w:eastAsia="Times New Roman" w:hAnsi="Times New Roman"/>
        </w:rPr>
        <w:t xml:space="preserve">The March volume opened under WP-17's line. Half of it survives. The substance alone does not predict the bill, and neither does the material a system is made of. The task, the outcome and the accounting boundary matter too (V4-L01).</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Proposed conceptual framework. The substrate scenarios organize questions about implementation and resource use. CSS signatures and relational efficiency across these scenarios have not been validated as measurements (V4-L02), and no universal relational efficiency bound is established by the sources reviewed here.</w:t>
      </w:r>
    </w:p>
    <w:p>
      <w:pPr>
        <w:pStyle w:val="Heading2"/>
        <w:keepNext/>
      </w:pPr>
      <w:r>
        <w:rPr>
          <w:rFonts w:ascii="Times New Roman" w:cs="Times New Roman" w:eastAsia="Times New Roman" w:hAnsi="Times New Roman"/>
        </w:rPr>
        <w:t xml:space="preserve">1 The assumption</w:t>
      </w:r>
    </w:p>
    <w:p>
      <w:pPr>
        <w:keepNext w:val="false"/>
        <w:spacing w:after="160"/>
      </w:pPr>
      <w:r>
        <w:rPr>
          <w:rFonts w:ascii="Times New Roman" w:cs="Times New Roman" w:eastAsia="Times New Roman" w:hAnsi="Times New Roman"/>
        </w:rPr>
        <w:t xml:space="preserve">The framework implicitly assumed a binary: biological or digital. That binary was always wrong, and the March chapter was right to say so (V4-L03).</w:t>
      </w:r>
    </w:p>
    <w:p>
      <w:pPr>
        <w:keepNext w:val="false"/>
        <w:spacing w:after="160"/>
      </w:pPr>
      <w:r>
        <w:rPr>
          <w:rFonts w:ascii="Times New Roman" w:cs="Times New Roman" w:eastAsia="Times New Roman" w:hAnsi="Times New Roman"/>
        </w:rPr>
        <w:t xml:space="preserve">The March chapter then recalled the volumes behind it: Volume 1 established one economy, one currency, one ledger, and proved the currency substrate-neutral (V4-L04). The corrected recollection is more modest. Volume 1 kept three accounts apart and made substrate neutrality a research commitment rather than a proof. Volume 2 walked into the biological substrate and read what the body records. Volume 3 asked why relational systems exist at all. Physical processes obey thermodynamics across materials; that fact does not prove relational value has a common thermodynamic currency.</w:t>
      </w:r>
    </w:p>
    <w:p>
      <w:pPr>
        <w:keepNext w:val="false"/>
        <w:spacing w:after="160"/>
      </w:pPr>
      <w:r>
        <w:rPr>
          <w:rFonts w:ascii="Times New Roman" w:cs="Times New Roman" w:eastAsia="Times New Roman" w:hAnsi="Times New Roman"/>
        </w:rPr>
        <w:t xml:space="preserve">What none of those volumes addressed is the space between the categories. A person living with a prosthetic limb or an implant, a hypothetical brain in a jar and a hypothetical fully uploaded entity pose different questions. The March text said the framework's instruments must track entities as they move along this gradient, not just classify them at a fixed point. Before it can claim to track anything through a transition, the framework has to say which functions, relationships and resources it means to compare (V4-L05).</w:t>
      </w:r>
    </w:p>
    <w:p>
      <w:pPr>
        <w:pStyle w:val="Heading2"/>
        <w:keepNext/>
      </w:pPr>
      <w:r>
        <w:rPr>
          <w:rFonts w:ascii="Times New Roman" w:cs="Times New Roman" w:eastAsia="Times New Roman" w:hAnsi="Times New Roman"/>
        </w:rPr>
        <w:t xml:space="preserve">2 The gradient as a set of questions</w:t>
      </w:r>
    </w:p>
    <w:p>
      <w:pPr>
        <w:keepNext w:val="false"/>
        <w:spacing w:after="160"/>
      </w:pPr>
      <w:r>
        <w:rPr>
          <w:rFonts w:ascii="Times New Roman" w:cs="Times New Roman" w:eastAsia="Times New Roman" w:hAnsi="Times New Roman"/>
        </w:rPr>
        <w:t xml:space="preserve">WP-17 proposed a sequence: motor replacement, memory replaced in the brain, memory moved to the cloud, full upload to a robot, full upload to the cloud. The cases do not establish a single measurable axis (V4-L06). They vary in embodiment, dependence on infrastructure, access to records, vulnerability and implementation. Some concern existing technologies; others are thought experiments.</w:t>
      </w:r>
    </w:p>
    <w:p>
      <w:pPr>
        <w:keepNext w:val="false"/>
        <w:spacing w:after="160"/>
      </w:pPr>
      <w:r>
        <w:rPr>
          <w:rFonts w:ascii="Times New Roman" w:cs="Times New Roman" w:eastAsia="Times New Roman" w:hAnsi="Times New Roman"/>
        </w:rPr>
        <w:t xml:space="preserve">The March chapter said that at each step the instruments read a different signature, because the parameters governing relational processing have changed substrate. A change in implementation may change resource use or behavior. It does not, by itself, establish a change in identity, a particular CSS signature or a loss of relational capacity.</w:t>
      </w:r>
    </w:p>
    <w:p>
      <w:pPr>
        <w:keepNext w:val="false"/>
        <w:spacing w:after="160"/>
      </w:pPr>
      <w:r>
        <w:rPr>
          <w:rFonts w:ascii="Times New Roman" w:cs="Times New Roman" w:eastAsia="Times New Roman" w:hAnsi="Times New Roman"/>
        </w:rPr>
        <w:t xml:space="preserve">The March chapter's question survives intact: what changes when the cost architecture changes? The substrate gradient asks which of those differences can be measured under a defined comparison, and which remain conceptual.</w:t>
      </w:r>
    </w:p>
    <w:p>
      <w:pPr>
        <w:pStyle w:val="Heading2"/>
        <w:keepNext/>
      </w:pPr>
      <w:r>
        <w:rPr>
          <w:rFonts w:ascii="Times New Roman" w:cs="Times New Roman" w:eastAsia="Times New Roman" w:hAnsi="Times New Roman"/>
        </w:rPr>
        <w:t xml:space="preserve">3 A comparison framework</w:t>
      </w:r>
    </w:p>
    <w:p>
      <w:pPr>
        <w:keepNext/>
        <w:spacing w:after="160"/>
      </w:pPr>
      <w:r>
        <w:rPr>
          <w:rFonts w:ascii="Times New Roman" w:cs="Times New Roman" w:eastAsia="Times New Roman" w:hAnsi="Times New Roman"/>
        </w:rPr>
        <w:t xml:space="preserve">The March chapter announced a spine the earlier volumes did not need, DFQ-002's efficiency surface:</w:t>
      </w:r>
    </w:p>
    <w:p>
      <w:pPr>
        <w:spacing w:after="160" w:before="120"/>
        <w:jc w:val="center"/>
      </w:pPr>
      <w:r>
        <w:rPr>
          <w:rFonts w:ascii="Times New Roman" w:cs="Times New Roman" w:eastAsia="Times New Roman" w:hAnsi="Times New Roman"/>
          <w:sz w:val="23"/>
          <w:szCs w:val="23"/>
        </w:rPr>
        <w:t xml:space="preserve">η</w:t>
      </w:r>
      <w:r>
        <w:rPr>
          <w:rFonts w:ascii="Times New Roman" w:cs="Times New Roman" w:eastAsia="Times New Roman" w:hAnsi="Times New Roman"/>
          <w:sz w:val="23"/>
          <w:szCs w:val="23"/>
          <w:vertAlign w:val="subscript"/>
        </w:rPr>
        <w:t xml:space="preserve">T,max</w:t>
      </w:r>
      <w:r>
        <w:rPr>
          <w:rFonts w:ascii="Times New Roman" w:cs="Times New Roman" w:eastAsia="Times New Roman" w:hAnsi="Times New Roman"/>
          <w:sz w:val="23"/>
          <w:szCs w:val="23"/>
        </w:rPr>
        <w:t xml:space="preserve">(G) = κ</w:t>
      </w:r>
      <w:r>
        <w:rPr>
          <w:rFonts w:ascii="Times New Roman" w:cs="Times New Roman" w:eastAsia="Times New Roman" w:hAnsi="Times New Roman"/>
          <w:sz w:val="23"/>
          <w:szCs w:val="23"/>
          <w:vertAlign w:val="subscript"/>
        </w:rPr>
        <w:t xml:space="preserve">rel</w:t>
      </w:r>
      <w:r>
        <w:rPr>
          <w:rFonts w:ascii="Times New Roman" w:cs="Times New Roman" w:eastAsia="Times New Roman" w:hAnsi="Times New Roman"/>
          <w:sz w:val="23"/>
          <w:szCs w:val="23"/>
        </w:rPr>
        <w:t xml:space="preserve"> · η</w:t>
      </w:r>
      <w:r>
        <w:rPr>
          <w:rFonts w:ascii="Times New Roman" w:cs="Times New Roman" w:eastAsia="Times New Roman" w:hAnsi="Times New Roman"/>
          <w:sz w:val="23"/>
          <w:szCs w:val="23"/>
          <w:vertAlign w:val="subscript"/>
        </w:rPr>
        <w:t xml:space="preserve">KW</w:t>
      </w:r>
      <w:r>
        <w:rPr>
          <w:rFonts w:ascii="Times New Roman" w:cs="Times New Roman" w:eastAsia="Times New Roman" w:hAnsi="Times New Roman"/>
          <w:sz w:val="23"/>
          <w:szCs w:val="23"/>
        </w:rPr>
        <w:t xml:space="preserve"> / A</w:t>
      </w:r>
    </w:p>
    <w:p>
      <w:pPr>
        <w:keepNext w:val="false"/>
        <w:spacing w:after="160"/>
      </w:pPr>
      <w:r>
        <w:rPr>
          <w:rFonts w:ascii="Times New Roman" w:cs="Times New Roman" w:eastAsia="Times New Roman" w:hAnsi="Times New Roman"/>
        </w:rPr>
        <w:t xml:space="preserve">It is quoted here only to mark its withdrawal (V4-L07). Chapter 2 sets out why. The product of a relational multiplier, a semantic efficiency and a substrate amplification factor has not been derived as a universal bound, and its factors are not measured constants of biological or silicon systems.</w:t>
      </w:r>
    </w:p>
    <w:p>
      <w:pPr>
        <w:keepNext w:val="false"/>
        <w:spacing w:after="160"/>
      </w:pPr>
      <w:r>
        <w:rPr>
          <w:rFonts w:ascii="Times New Roman" w:cs="Times New Roman" w:eastAsia="Times New Roman" w:hAnsi="Times New Roman"/>
        </w:rPr>
        <w:t xml:space="preserve">The useful task remains: describe what a system achieves, what resources it uses and where the accounting boundary lies. A comparison needs a common task, performance criteria, a time interval and a resource boundary. A proposed relational outcome needs its own definition and evidence. Until those are specified, the scenarios do not occupy known numerical positions on an efficiency surface.</w:t>
      </w:r>
    </w:p>
    <w:p>
      <w:pPr>
        <w:pStyle w:val="Heading2"/>
        <w:keepNext/>
      </w:pPr>
      <w:r>
        <w:rPr>
          <w:rFonts w:ascii="Times New Roman" w:cs="Times New Roman" w:eastAsia="Times New Roman" w:hAnsi="Times New Roman"/>
        </w:rPr>
        <w:t xml:space="preserve">4 What this volume maps</w:t>
      </w:r>
    </w:p>
    <w:p>
      <w:pPr>
        <w:pStyle w:val="ListParagraph"/>
        <w:numPr>
          <w:ilvl w:val="0"/>
          <w:numId w:val="2"/>
        </w:numPr>
        <w:spacing w:after="100"/>
      </w:pPr>
      <w:r>
        <w:rPr>
          <w:rFonts w:ascii="Times New Roman" w:cs="Times New Roman" w:eastAsia="Times New Roman" w:hAnsi="Times New Roman"/>
          <w:b/>
          <w:bCs/>
        </w:rPr>
        <w:t xml:space="preserve">Chapter 2</w:t>
      </w:r>
      <w:r>
        <w:rPr>
          <w:rFonts w:ascii="Times New Roman" w:cs="Times New Roman" w:eastAsia="Times New Roman" w:hAnsi="Times New Roman"/>
        </w:rPr>
        <w:t xml:space="preserve"> separates the established thermodynamic principles from the proposed relational model and sets out what a defensible comparison requires. The March chapter called the thousandfold biological advantage over silicon a formal result, not an intuition. That claim is not established here (V4-L08).</w:t>
      </w:r>
    </w:p>
    <w:p>
      <w:pPr>
        <w:pStyle w:val="ListParagraph"/>
        <w:numPr>
          <w:ilvl w:val="0"/>
          <w:numId w:val="2"/>
        </w:numPr>
        <w:spacing w:after="100"/>
      </w:pPr>
      <w:r>
        <w:rPr>
          <w:rFonts w:ascii="Times New Roman" w:cs="Times New Roman" w:eastAsia="Times New Roman" w:hAnsi="Times New Roman"/>
          <w:b/>
          <w:bCs/>
        </w:rPr>
        <w:t xml:space="preserve">Chapter 3</w:t>
      </w:r>
      <w:r>
        <w:rPr>
          <w:rFonts w:ascii="Times New Roman" w:cs="Times New Roman" w:eastAsia="Times New Roman" w:hAnsi="Times New Roman"/>
        </w:rPr>
        <w:t xml:space="preserve"> walks the scenarios from device support to hypothetical upload without assigning unmeasured efficiencies or deciding identity from material (V4-L24 to V4-L29).</w:t>
      </w:r>
    </w:p>
    <w:p>
      <w:pPr>
        <w:pStyle w:val="ListParagraph"/>
        <w:numPr>
          <w:ilvl w:val="0"/>
          <w:numId w:val="2"/>
        </w:numPr>
        <w:spacing w:after="100"/>
      </w:pPr>
      <w:r>
        <w:rPr>
          <w:rFonts w:ascii="Times New Roman" w:cs="Times New Roman" w:eastAsia="Times New Roman" w:hAnsi="Times New Roman"/>
          <w:b/>
          <w:bCs/>
        </w:rPr>
        <w:t xml:space="preserve">Chapter 4</w:t>
      </w:r>
      <w:r>
        <w:rPr>
          <w:rFonts w:ascii="Times New Roman" w:cs="Times New Roman" w:eastAsia="Times New Roman" w:hAnsi="Times New Roman"/>
        </w:rPr>
        <w:t xml:space="preserve"> treats the Phase 2 connections as developmental hypotheses, not physical identities or diagnoses of children or cohorts (V4-L30).</w:t>
      </w:r>
    </w:p>
    <w:p>
      <w:pPr>
        <w:pStyle w:val="ListParagraph"/>
        <w:numPr>
          <w:ilvl w:val="0"/>
          <w:numId w:val="2"/>
        </w:numPr>
        <w:spacing w:after="100"/>
      </w:pPr>
      <w:r>
        <w:rPr>
          <w:rFonts w:ascii="Times New Roman" w:cs="Times New Roman" w:eastAsia="Times New Roman" w:hAnsi="Times New Roman"/>
          <w:b/>
          <w:bCs/>
        </w:rPr>
        <w:t xml:space="preserve">Chapter 5</w:t>
      </w:r>
      <w:r>
        <w:rPr>
          <w:rFonts w:ascii="Times New Roman" w:cs="Times New Roman" w:eastAsia="Times New Roman" w:hAnsi="Times New Roman"/>
        </w:rPr>
        <w:t xml:space="preserve"> uses the compound-transducer image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to ask how a human–AI collaboration could be compared with each component working alone (V4-L38, V4-L39).</w:t>
      </w:r>
    </w:p>
    <w:p>
      <w:pPr>
        <w:pStyle w:val="ListParagraph"/>
        <w:numPr>
          <w:ilvl w:val="0"/>
          <w:numId w:val="2"/>
        </w:numPr>
        <w:spacing w:after="100"/>
      </w:pPr>
      <w:r>
        <w:rPr>
          <w:rFonts w:ascii="Times New Roman" w:cs="Times New Roman" w:eastAsia="Times New Roman" w:hAnsi="Times New Roman"/>
          <w:b/>
          <w:bCs/>
        </w:rPr>
        <w:t xml:space="preserve">Chapter 6</w:t>
      </w:r>
      <w:r>
        <w:rPr>
          <w:rFonts w:ascii="Times New Roman" w:cs="Times New Roman" w:eastAsia="Times New Roman" w:hAnsi="Times New Roman"/>
        </w:rPr>
        <w:t xml:space="preserve"> records which cross-volume dependencies remain open. The map that results is a research program, not a completed quantitative theory.</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binary is gone, and the space between biological and digital systems is worth mapping. It is a space of several dimensions, not one axis, and the framework does not yet have the measurements to place anything in it numerically. The work of this volume is to say what such measurements would need.</w:t>
      </w:r>
    </w:p>
    <w:p>
      <w:pPr>
        <w:pStyle w:val="Heading1"/>
        <w:pageBreakBefore/>
      </w:pPr>
      <w:r>
        <w:rPr>
          <w:rFonts w:ascii="Times New Roman" w:cs="Times New Roman" w:eastAsia="Times New Roman" w:hAnsi="Times New Roman"/>
        </w:rPr>
        <w:t xml:space="preserve">Analogy table: The substrate gradient</w:t>
      </w:r>
    </w:p>
    <w:p>
      <w:pPr>
        <w:keepNext w:val="false"/>
        <w:spacing w:after="160"/>
      </w:pPr>
      <w:r>
        <w:rPr>
          <w:rFonts w:ascii="Times New Roman" w:cs="Times New Roman" w:eastAsia="Times New Roman" w:hAnsi="Times New Roman"/>
        </w:rPr>
        <w:t xml:space="preserve">The substrate gradient image, from March Chapter 1 and WP-17's sequence from motor replacement to full upload, is Analogical. The physical and technical column states what the sources reviewed establish about implementations and their resource use; the gradient reading pictures one continuum with calculable positions. That standing does not pass from the first column to the second.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0"/>
        <w:gridCol w:w="2300"/>
        <w:gridCol w:w="1600"/>
        <w:gridCol w:w="1650"/>
        <w:gridCol w:w="2960"/>
      </w:tblGrid>
      <w:tr>
        <w:trPr>
          <w:cantSplit/>
          <w:tblHeader/>
        </w:trPr>
        <w:tc>
          <w:tcPr>
            <w:tcW w:type="dxa" w:w="8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23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or technical reading (within stated scope)</w:t>
            </w:r>
          </w:p>
        </w:tc>
        <w:tc>
          <w:tcPr>
            <w:tcW w:type="dxa" w:w="16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Gradient reading</w:t>
            </w:r>
          </w:p>
        </w:tc>
        <w:tc>
          <w:tcPr>
            <w:tcW w:type="dxa" w:w="16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29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axis”</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Implementations differ along several separable dimensions: embodiment, dependence on infrastructure, access to records, vulnerability and material (Ch 3 §1).</w:t>
            </w:r>
          </w:p>
        </w:tc>
        <w:tc>
          <w:tcPr>
            <w:tcW w:type="dxa" w:w="16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One continuum from biological to silicon.</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Existing devices do support or replace bodily functions to different extents (Ch 3 §2).</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dimensions change separately, so there need not be one ordered path; existing devices and hypothetical uploads sit in the same list without sharing a measured axis (Ch 1 §2).</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“positions”</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Device studies measure specified functional outcomes, such as speech perception in noise after a cochlear implant (van Heteren and colleagues, 2025).</w:t>
            </w:r>
          </w:p>
        </w:tc>
        <w:tc>
          <w:tcPr>
            <w:tcW w:type="dxa" w:w="16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Each entity occupies a point with a calculable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Defined outcomes for defined devices can be measured and compared.</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claimed quantitative mapping across gradient positions is not established here, CSS signatures are not validated, and the upload cases are not demonstrated (Ch 3 §5–6).</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“distance along it”</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Energy for a specified task under a stated boundary; dividing by k</w:t>
            </w:r>
            <w:r>
              <w:rPr>
                <w:rFonts w:ascii="Times New Roman" w:cs="Times New Roman" w:eastAsia="Times New Roman" w:hAnsi="Times New Roman"/>
                <w:sz w:val="16"/>
                <w:szCs w:val="16"/>
                <w:vertAlign w:val="subscript"/>
              </w:rPr>
              <w:t xml:space="preserve">B</w:t>
            </w:r>
            <w:r>
              <w:rPr>
                <w:rFonts w:ascii="Times New Roman" w:cs="Times New Roman" w:eastAsia="Times New Roman" w:hAnsi="Times New Roman"/>
                <w:sz w:val="16"/>
                <w:szCs w:val="16"/>
              </w:rPr>
              <w:t xml:space="preserve">T ln 2 gives a reference-energy multiple [1–3].</w:t>
            </w:r>
          </w:p>
        </w:tc>
        <w:tc>
          <w:tcPr>
            <w:tcW w:type="dxa" w:w="16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Amplification factors of about 30, 10</w:t>
            </w:r>
            <w:r>
              <w:rPr>
                <w:rFonts w:ascii="Times New Roman" w:cs="Times New Roman" w:eastAsia="Times New Roman" w:hAnsi="Times New Roman"/>
                <w:sz w:val="16"/>
                <w:szCs w:val="16"/>
                <w:vertAlign w:val="superscript"/>
              </w:rPr>
              <w:t xml:space="preserve">6</w:t>
            </w:r>
            <w:r>
              <w:rPr>
                <w:rFonts w:ascii="Times New Roman" w:cs="Times New Roman" w:eastAsia="Times New Roman" w:hAnsi="Times New Roman"/>
                <w:sz w:val="16"/>
                <w:szCs w:val="16"/>
              </w:rPr>
              <w:t xml:space="preserve"> and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set each substrate's efficiency.</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implementations do use different energy for specified tasks.</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reference-energy multiple is not a distance from the event's achievable minimum unless the event is an equivalent erasure. A spike, a transmitted bit and a transistor switch are different events (Ch 2 §3, §5) [5, 6].</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“moving along it”</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Changing an implementation changes what must be measured and where the boundary lies (Ch 3 §4).</w:t>
            </w:r>
          </w:p>
        </w:tc>
        <w:tc>
          <w:tcPr>
            <w:tcW w:type="dxa" w:w="16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entity moves along the continuum, its signature shifts, and identity follows its parameters.</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Replacing a component can change resource use and behavior.</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change in implementation does not establish a change in identity or a loss of relational capacity. Copyability, identity and experience are different questions (Ch 3 §6).</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two ends”</w:t>
            </w:r>
          </w:p>
        </w:tc>
        <w:tc>
          <w:tcPr>
            <w:tcW w:type="dxa" w:w="23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Biological and digital implementations of specified tasks, each with its supporting infrastructure.</w:t>
            </w:r>
          </w:p>
        </w:tc>
        <w:tc>
          <w:tcPr>
            <w:tcW w:type="dxa" w:w="16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Two poles, with biology about a thousand times more efficient.</w:t>
            </w:r>
          </w:p>
        </w:tc>
        <w:tc>
          <w:tcPr>
            <w:tcW w:type="dxa" w:w="16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Biological and engineered systems differ in architecture and resource profile.</w:t>
            </w:r>
          </w:p>
        </w:tc>
        <w:tc>
          <w:tcPr>
            <w:tcW w:type="dxa" w:w="29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fixed ranking is established; a fair comparison needs a matched task and performance. Infrastructure costs move out of view in cloud systems but do not vanish (Ch 2 §5; Ch 3 §6).</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a map of personal identity or a ranking of systems or people. The physical column keeps its own scope; the gradient reading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An empirical extension must name the claim and evidence suited to it. Resource-efficiency comparisons require matched tasks and performance, a stated energy boundary and independently defined outcomes. Functional-outcome comparisons need their own specified outcomes and alternatives. Neither kind of comparison alone settles identity or experience. No test of this gradient mapping is supplied or proposed here; no row is promoted.</w:t>
      </w:r>
    </w:p>
    <w:p>
      <w:pPr>
        <w:pStyle w:val="Heading1"/>
        <w:pageBreakBefore/>
      </w:pPr>
      <w:r>
        <w:rPr>
          <w:rFonts w:ascii="Times New Roman" w:cs="Times New Roman" w:eastAsia="Times New Roman" w:hAnsi="Times New Roman"/>
        </w:rPr>
        <w:t xml:space="preserve">Chapter 2: The Efficiency Surface</w:t>
      </w:r>
    </w:p>
    <w:p>
      <w:pPr>
        <w:keepNext/>
        <w:spacing w:after="360" w:before="0"/>
      </w:pPr>
      <w:r>
        <w:rPr>
          <w:rFonts w:ascii="Times New Roman" w:cs="Times New Roman" w:eastAsia="Times New Roman" w:hAnsi="Times New Roman"/>
          <w:i/>
          <w:iCs/>
          <w:color w:val="404040"/>
          <w:sz w:val="28"/>
          <w:szCs w:val="28"/>
        </w:rPr>
        <w:t xml:space="preserve">The Constraints That Hold, and the Surface That Does Not</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Landauer's erasure benchmark is </w:t>
      </w: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within its stated conditions. The efficiency surface is a proposed research framework, not a derived bound. Its relational factors have not been defined and measured consistently, and none of the March numerical values is retained as a finding.</w:t>
      </w:r>
    </w:p>
    <w:p>
      <w:pPr>
        <w:pStyle w:val="Heading2"/>
        <w:keepNext/>
      </w:pPr>
      <w:r>
        <w:rPr>
          <w:rFonts w:ascii="Times New Roman" w:cs="Times New Roman" w:eastAsia="Times New Roman" w:hAnsi="Times New Roman"/>
        </w:rPr>
        <w:t xml:space="preserve">1 The question DFQ-002 asked</w:t>
      </w:r>
    </w:p>
    <w:p>
      <w:pPr>
        <w:keepNext w:val="false"/>
        <w:spacing w:after="160"/>
      </w:pPr>
      <w:r>
        <w:rPr>
          <w:rFonts w:ascii="Times New Roman" w:cs="Times New Roman" w:eastAsia="Times New Roman" w:hAnsi="Times New Roman"/>
        </w:rPr>
        <w:t xml:space="preserve">The March chapter began from Volume 1: the transducer always spends more than it saves, and the second law guarantees waste. That premise is withdrawn (V4-L09). The founding line is a motivating image, not a measured physical balance.</w:t>
      </w:r>
    </w:p>
    <w:p>
      <w:pPr>
        <w:keepNext w:val="false"/>
        <w:spacing w:after="160"/>
      </w:pPr>
      <w:r>
        <w:rPr>
          <w:rFonts w:ascii="Times New Roman" w:cs="Times New Roman" w:eastAsia="Times New Roman" w:hAnsi="Times New Roman"/>
        </w:rPr>
        <w:t xml:space="preserve">DFQ-002's question survives without it, and it is a good one. Is there a Carnot efficiency for relational processing, a theoretical maximum ratio of relational output to physical input? What does an activity achieve, what resources does it use, and which differences belong to the task, which to its implementation, and which to the environment in which it matters?</w:t>
      </w:r>
    </w:p>
    <w:p>
      <w:pPr>
        <w:keepNext w:val="false"/>
        <w:spacing w:after="160"/>
      </w:pPr>
      <w:r>
        <w:rPr>
          <w:rFonts w:ascii="Times New Roman" w:cs="Times New Roman" w:eastAsia="Times New Roman" w:hAnsi="Times New Roman"/>
        </w:rPr>
        <w:t xml:space="preserve">The March answer was that there is no single Carnot number, because the bound is a three-dimensional surface on which every person, AI system and institutional filter occupies a point. It called the structure analogous to Govern and ten Wolde's result in cellular sensing (V4-L10). That surface was not derived, and the analogy does not transfer: Govern and ten Wolde derived noncompensable resource classes for a specified class of cellular sensing networks, from their own receptor, readout and fuel model [9].</w:t>
      </w:r>
    </w:p>
    <w:p>
      <w:pPr>
        <w:keepNext w:val="false"/>
        <w:spacing w:after="160"/>
      </w:pPr>
      <w:r>
        <w:rPr>
          <w:rFonts w:ascii="Times New Roman" w:cs="Times New Roman" w:eastAsia="Times New Roman" w:hAnsi="Times New Roman"/>
        </w:rPr>
        <w:t xml:space="preserve">The surface can survive as a research framework: a way to display measured performance, resource use and explicitly defined outcomes under stated conditions. It cannot supply a universal exchange rate between energy and relational value. The substrate is not enough to predict the bill; the task and the accounting boundary matter too.</w:t>
      </w:r>
    </w:p>
    <w:p>
      <w:pPr>
        <w:pStyle w:val="Heading2"/>
        <w:keepNext/>
      </w:pPr>
      <w:r>
        <w:rPr>
          <w:rFonts w:ascii="Times New Roman" w:cs="Times New Roman" w:eastAsia="Times New Roman" w:hAnsi="Times New Roman"/>
        </w:rPr>
        <w:t xml:space="preserve">2 Define the quantities before taking a ratio</w:t>
      </w:r>
    </w:p>
    <w:p>
      <w:pPr>
        <w:keepNext/>
        <w:spacing w:after="160"/>
      </w:pPr>
      <w:r>
        <w:rPr>
          <w:rFonts w:ascii="Times New Roman" w:cs="Times New Roman" w:eastAsia="Times New Roman" w:hAnsi="Times New Roman"/>
        </w:rPr>
        <w:t xml:space="preserve">The March chapter defined transducer efficiency as relational viability gained per unit of entropy produced:</w:t>
      </w:r>
    </w:p>
    <w:p>
      <w:pPr>
        <w:spacing w:after="160" w:before="120"/>
        <w:jc w:val="center"/>
      </w:pPr>
      <w:r>
        <w:rPr>
          <w:rFonts w:ascii="Times New Roman" w:cs="Times New Roman" w:eastAsia="Times New Roman" w:hAnsi="Times New Roman"/>
          <w:sz w:val="23"/>
          <w:szCs w:val="23"/>
        </w:rPr>
        <w:t xml:space="preserve">η</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 ΔV</w:t>
      </w:r>
      <w:r>
        <w:rPr>
          <w:rFonts w:ascii="Times New Roman" w:cs="Times New Roman" w:eastAsia="Times New Roman" w:hAnsi="Times New Roman"/>
          <w:sz w:val="23"/>
          <w:szCs w:val="23"/>
          <w:vertAlign w:val="subscript"/>
        </w:rPr>
        <w:t xml:space="preserve">rel</w:t>
      </w:r>
      <w:r>
        <w:rPr>
          <w:rFonts w:ascii="Times New Roman" w:cs="Times New Roman" w:eastAsia="Times New Roman" w:hAnsi="Times New Roman"/>
          <w:sz w:val="23"/>
          <w:szCs w:val="23"/>
        </w:rPr>
        <w:t xml:space="preserve"> / σ</w:t>
      </w:r>
      <w:r>
        <w:rPr>
          <w:rFonts w:ascii="Times New Roman" w:cs="Times New Roman" w:eastAsia="Times New Roman" w:hAnsi="Times New Roman"/>
          <w:sz w:val="23"/>
          <w:szCs w:val="23"/>
          <w:vertAlign w:val="subscript"/>
        </w:rPr>
        <w:t xml:space="preserve">total</w:t>
      </w:r>
    </w:p>
    <w:p>
      <w:pPr>
        <w:keepNext w:val="false"/>
        <w:spacing w:after="160"/>
      </w:pPr>
      <w:r>
        <w:rPr>
          <w:rFonts w:ascii="Times New Roman" w:cs="Times New Roman" w:eastAsia="Times New Roman" w:hAnsi="Times New Roman"/>
        </w:rPr>
        <w:t xml:space="preserve">That ratio was called an efficiency without establishing compatible units (V4-L11). Energy E and heat Q are in joules. Thermodynamic entropy production is in joules per kelvin. Shannon entropy and mutual information depend on specified distributions and are measured here in bits. A relational outcome V needs its own definition, observation window and measurement procedure.</w:t>
      </w:r>
    </w:p>
    <w:p>
      <w:pPr>
        <w:keepNext w:val="false"/>
        <w:spacing w:after="160"/>
      </w:pPr>
      <w:r>
        <w:rPr>
          <w:rFonts w:ascii="Times New Roman" w:cs="Times New Roman" w:eastAsia="Times New Roman" w:hAnsi="Times New Roman"/>
        </w:rPr>
        <w:t xml:space="preserve">If V is an outcome score and the denominator is energy, the ratio is score per joule; if the denominator is entropy production, it is score-kelvin per joule. Neither is automatically a dimensionless thermodynamic efficiency or bounded by one, and rescaling the outcome score changes the number without changing the physical process.</w:t>
      </w:r>
    </w:p>
    <w:p>
      <w:pPr>
        <w:keepNext w:val="false"/>
        <w:spacing w:after="160"/>
      </w:pPr>
      <w:r>
        <w:rPr>
          <w:rFonts w:ascii="Times New Roman" w:cs="Times New Roman" w:eastAsia="Times New Roman" w:hAnsi="Times New Roman"/>
        </w:rPr>
        <w:t xml:space="preserve">A study may report outcome per unit energy when the numerator is defensible, the denominator is positive, and both refer to the same task and interval. It must also report the outcome and the energy separately, because a ratio can hide a poor outcome, a tiny denominator or different baselines. “Greater than one” is not a universal break-even point for such a measure. Calling both sides “order” does not supply the connection between physical accounting and relational interpretation.</w:t>
      </w:r>
    </w:p>
    <w:p>
      <w:pPr>
        <w:pStyle w:val="Heading2"/>
        <w:keepNext/>
      </w:pPr>
      <w:r>
        <w:rPr>
          <w:rFonts w:ascii="Times New Roman" w:cs="Times New Roman" w:eastAsia="Times New Roman" w:hAnsi="Times New Roman"/>
        </w:rPr>
        <w:t xml:space="preserve">3 What the physical lower bound actually concerns</w:t>
      </w:r>
    </w:p>
    <w:p>
      <w:pPr>
        <w:keepNext/>
        <w:spacing w:after="160"/>
      </w:pPr>
      <w:r>
        <w:rPr>
          <w:rFonts w:ascii="Times New Roman" w:cs="Times New Roman" w:eastAsia="Times New Roman" w:hAnsi="Times New Roman"/>
        </w:rPr>
        <w:t xml:space="preserve">The March chapter's first constraint was the Landauer floor, marked Established, and the tier stands for what Landauer's principle actually concerns: a specified erasure task. For ideal reset of an unbiased bit in the usual symmetric isothermal memory model, with no correlated side information used, mean heat delivered to the bath obeys [1–3]:</w:t>
      </w:r>
    </w:p>
    <w:p>
      <w:pPr>
        <w:spacing w:after="160" w:before="120"/>
        <w:jc w:val="center"/>
      </w:pPr>
      <w:r>
        <w:rPr>
          <w:rFonts w:ascii="Times New Roman" w:cs="Times New Roman" w:eastAsia="Times New Roman" w:hAnsi="Times New Roman"/>
          <w:sz w:val="23"/>
          <w:szCs w:val="23"/>
        </w:rPr>
        <w:t xml:space="preserve">⟨Q</w:t>
      </w:r>
      <w:r>
        <w:rPr>
          <w:rFonts w:ascii="Times New Roman" w:cs="Times New Roman" w:eastAsia="Times New Roman" w:hAnsi="Times New Roman"/>
          <w:sz w:val="23"/>
          <w:szCs w:val="23"/>
          <w:vertAlign w:val="subscript"/>
        </w:rPr>
        <w:t xml:space="preserve">bath</w:t>
      </w:r>
      <w:r>
        <w:rPr>
          <w:rFonts w:ascii="Times New Roman" w:cs="Times New Roman" w:eastAsia="Times New Roman" w:hAnsi="Times New Roman"/>
          <w:sz w:val="23"/>
          <w:szCs w:val="23"/>
        </w:rPr>
        <w:t xml:space="preserve">⟩ ≥ k</w:t>
      </w:r>
      <w:r>
        <w:rPr>
          <w:rFonts w:ascii="Times New Roman" w:cs="Times New Roman" w:eastAsia="Times New Roman" w:hAnsi="Times New Roman"/>
          <w:sz w:val="23"/>
          <w:szCs w:val="23"/>
          <w:vertAlign w:val="subscript"/>
        </w:rPr>
        <w:t xml:space="preserve">B</w:t>
      </w:r>
      <w:r>
        <w:rPr>
          <w:rFonts w:ascii="Times New Roman" w:cs="Times New Roman" w:eastAsia="Times New Roman" w:hAnsi="Times New Roman"/>
          <w:sz w:val="23"/>
          <w:szCs w:val="23"/>
        </w:rPr>
        <w:t xml:space="preserve"> T ln 2</w:t>
      </w:r>
    </w:p>
    <w:p>
      <w:pPr>
        <w:keepNext w:val="false"/>
        <w:spacing w:after="160"/>
      </w:pPr>
      <w:r>
        <w:rPr>
          <w:rFonts w:ascii="Times New Roman" w:cs="Times New Roman" w:eastAsia="Times New Roman" w:hAnsi="Times New Roman"/>
        </w:rPr>
        <w:t xml:space="preserve">At 310 K the right side is about 2.97 × 10</w:t>
      </w:r>
      <w:r>
        <w:rPr>
          <w:rFonts w:ascii="Times New Roman" w:cs="Times New Roman" w:eastAsia="Times New Roman" w:hAnsi="Times New Roman"/>
          <w:vertAlign w:val="superscript"/>
        </w:rPr>
        <w:t xml:space="preserve">−21</w:t>
      </w:r>
      <w:r>
        <w:rPr>
          <w:rFonts w:ascii="Times New Roman" w:cs="Times New Roman" w:eastAsia="Times New Roman" w:hAnsi="Times New Roman"/>
        </w:rPr>
        <w:t xml:space="preserve"> J. It is an energy, not an entropy. In the reversible limiting protocol, the bath's entropy increase compensates the memory's decrease, and total entropy production can approach zero. A positive erasure-heat scale is not a universal positive floor on entropy production.</w:t>
      </w:r>
    </w:p>
    <w:p>
      <w:pPr>
        <w:keepNext w:val="false"/>
        <w:spacing w:after="160"/>
      </w:pPr>
      <w:r>
        <w:rPr>
          <w:rFonts w:ascii="Times New Roman" w:cs="Times New Roman" w:eastAsia="Times New Roman" w:hAnsi="Times New Roman"/>
        </w:rPr>
        <w:t xml:space="preserve">The March chapter summed a Landauer minimum for each transducer stage, selection, compression and structuring, and concluded that the floor is geometry-specific, so two people in the same relational environment have different irreducible costs (V4-L12). The three-stage relational description does not identify what is stored, retained elsewhere and reset, and those are what an erasure account needs. Bennett's analysis of reversible computation shows why a cognitive label is not a compulsory erasure [2]. Richer input, more aggressive representation or more possible targets does not by itself determine an irreducible physical cost.</w:t>
      </w:r>
    </w:p>
    <w:p>
      <w:pPr>
        <w:keepNext w:val="false"/>
        <w:spacing w:after="160"/>
      </w:pPr>
      <w:r>
        <w:rPr>
          <w:rFonts w:ascii="Times New Roman" w:cs="Times New Roman" w:eastAsia="Times New Roman" w:hAnsi="Times New Roman"/>
        </w:rPr>
        <w:t xml:space="preserve">For orientation, one may divide an event's stated energy by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That gives a reference-energy multiple. Unless the event is an equivalent specified erasure, it is not a measured distance from that event's achievable minimum. A spike, a transmitted mutual-information bit, a transistor switch and a multiply-accumulate operation remain different events after division by the same reference.</w:t>
      </w:r>
    </w:p>
    <w:p>
      <w:pPr>
        <w:pStyle w:val="Heading2"/>
        <w:keepNext/>
      </w:pPr>
      <w:r>
        <w:rPr>
          <w:rFonts w:ascii="Times New Roman" w:cs="Times New Roman" w:eastAsia="Times New Roman" w:hAnsi="Times New Roman"/>
        </w:rPr>
        <w:t xml:space="preserve">4 Semantic information remains a model choice</w:t>
      </w:r>
    </w:p>
    <w:p>
      <w:pPr>
        <w:keepNext/>
        <w:spacing w:after="160"/>
      </w:pPr>
      <w:r>
        <w:rPr>
          <w:rFonts w:ascii="Times New Roman" w:cs="Times New Roman" w:eastAsia="Times New Roman" w:hAnsi="Times New Roman"/>
        </w:rPr>
        <w:t xml:space="preserve">The March chapter's second constraint was a semantic efficiency ceiling: only the fraction of processed information that sustains relational viability counts, and the rest is relational noise. Kolchinsky and Wolpert do define stored semantic information, through interventions on system–environment correlations that preserve a chosen viability value at a chosen horizon. For positive initial mutual information I</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their semantic fraction and stored multiplier are [4]:</w:t>
      </w:r>
    </w:p>
    <w:p>
      <w:pPr>
        <w:spacing w:after="160" w:before="120"/>
        <w:jc w:val="center"/>
      </w:pPr>
      <w:r>
        <w:rPr>
          <w:rFonts w:ascii="Times New Roman" w:cs="Times New Roman" w:eastAsia="Times New Roman" w:hAnsi="Times New Roman"/>
          <w:sz w:val="23"/>
          <w:szCs w:val="23"/>
        </w:rPr>
        <w:t xml:space="preserve">S</w:t>
      </w:r>
      <w:r>
        <w:rPr>
          <w:rFonts w:ascii="Times New Roman" w:cs="Times New Roman" w:eastAsia="Times New Roman" w:hAnsi="Times New Roman"/>
          <w:sz w:val="23"/>
          <w:szCs w:val="23"/>
          <w:vertAlign w:val="subscript"/>
        </w:rPr>
        <w:t xml:space="preserve">stored</w:t>
      </w:r>
      <w:r>
        <w:rPr>
          <w:rFonts w:ascii="Times New Roman" w:cs="Times New Roman" w:eastAsia="Times New Roman" w:hAnsi="Times New Roman"/>
          <w:sz w:val="23"/>
          <w:szCs w:val="23"/>
        </w:rPr>
        <w:t xml:space="preserve"> / I</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ΔV</w:t>
      </w:r>
      <w:r>
        <w:rPr>
          <w:rFonts w:ascii="Times New Roman" w:cs="Times New Roman" w:eastAsia="Times New Roman" w:hAnsi="Times New Roman"/>
          <w:sz w:val="23"/>
          <w:szCs w:val="23"/>
          <w:vertAlign w:val="subscript"/>
        </w:rPr>
        <w:t xml:space="preserve">tot</w:t>
      </w:r>
      <w:r>
        <w:rPr>
          <w:rFonts w:ascii="Times New Roman" w:cs="Times New Roman" w:eastAsia="Times New Roman" w:hAnsi="Times New Roman"/>
          <w:sz w:val="23"/>
          <w:szCs w:val="23"/>
        </w:rPr>
        <w:t xml:space="preserve"> / I</w:t>
      </w:r>
      <w:r>
        <w:rPr>
          <w:rFonts w:ascii="Times New Roman" w:cs="Times New Roman" w:eastAsia="Times New Roman" w:hAnsi="Times New Roman"/>
          <w:sz w:val="23"/>
          <w:szCs w:val="23"/>
          <w:vertAlign w:val="subscript"/>
        </w:rPr>
        <w:t xml:space="preserve">0</w:t>
      </w:r>
    </w:p>
    <w:p>
      <w:pPr>
        <w:keepNext w:val="false"/>
        <w:spacing w:after="160"/>
      </w:pPr>
      <w:r>
        <w:rPr>
          <w:rFonts w:ascii="Times New Roman" w:cs="Times New Roman" w:eastAsia="Times New Roman" w:hAnsi="Times New Roman"/>
        </w:rPr>
        <w:t xml:space="preserve">With their negative-entropy viability choice, all three quantities are in bits, so both ratios are dimensionless. The multiplier is not an energy-denominated ratio, and their framework permits information that harms viability.</w:t>
      </w:r>
    </w:p>
    <w:p>
      <w:pPr>
        <w:keepNext w:val="false"/>
        <w:spacing w:after="160"/>
      </w:pPr>
      <w:r>
        <w:rPr>
          <w:rFonts w:ascii="Times New Roman" w:cs="Times New Roman" w:eastAsia="Times New Roman" w:hAnsi="Times New Roman"/>
        </w:rPr>
        <w:t xml:space="preserve">A relational application needs its own states, dynamics, viability definition and admissible interventions. The March chapter named its relational noise: rumination about events that no longer affect the relationship, hypervigilant scanning for absent threats, rehearsal of scripts the current partner does not trigger (V4-L13). Those may be real experiences. They are not measured losses of semantic efficiency, and low statistical uncertainty does not establish that a predictable human situation is a good one.</w:t>
      </w:r>
    </w:p>
    <w:p>
      <w:pPr>
        <w:keepNext w:val="false"/>
        <w:spacing w:after="160"/>
      </w:pPr>
      <w:r>
        <w:rPr>
          <w:rFonts w:ascii="Times New Roman" w:cs="Times New Roman" w:eastAsia="Times New Roman" w:hAnsi="Times New Roman"/>
        </w:rPr>
        <w:t xml:space="preserve">The March range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 0.3–0.8 is withdrawn (V4-L14). It was bounded from below by mortality data and from above by the cortex's communication-to-computation ratio, and neither bound holds. A small amount of information can have a large consequence, so a large consequence does not tell us what fraction of all information was necessary. No alternative population range is supplied here.</w:t>
      </w:r>
    </w:p>
    <w:p>
      <w:pPr>
        <w:pStyle w:val="Heading2"/>
        <w:keepNext/>
      </w:pPr>
      <w:r>
        <w:rPr>
          <w:rFonts w:ascii="Times New Roman" w:cs="Times New Roman" w:eastAsia="Times New Roman" w:hAnsi="Times New Roman"/>
        </w:rPr>
        <w:t xml:space="preserve">5 What the biological evidence contributes</w:t>
      </w:r>
    </w:p>
    <w:p>
      <w:pPr>
        <w:keepNext w:val="false"/>
        <w:spacing w:after="160"/>
      </w:pPr>
      <w:r>
        <w:rPr>
          <w:rFonts w:ascii="Times New Roman" w:cs="Times New Roman" w:eastAsia="Times New Roman" w:hAnsi="Times New Roman"/>
        </w:rPr>
        <w:t xml:space="preserve">The March chapter's third constraint was a substrate amplification penalty, with measured factors of about 30 for cellular machinery, 10</w:t>
      </w:r>
      <w:r>
        <w:rPr>
          <w:rFonts w:ascii="Times New Roman" w:cs="Times New Roman" w:eastAsia="Times New Roman" w:hAnsi="Times New Roman"/>
          <w:vertAlign w:val="superscript"/>
        </w:rPr>
        <w:t xml:space="preserve">6</w:t>
      </w:r>
      <w:r>
        <w:rPr>
          <w:rFonts w:ascii="Times New Roman" w:cs="Times New Roman" w:eastAsia="Times New Roman" w:hAnsi="Times New Roman"/>
        </w:rPr>
        <w:t xml:space="preserve"> for synaptic processing and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for contemporary silicon (V4-L15). The energy literature provides useful, limited examples. Harris and colleagues' figure of about 24,000 ATP per transmitted bit is a calculation under stated firing and release assumptions, not a universal measurement of neural computation [5]. The silicon factor is not an established constant, and the factors are reference-energy multiples for different events, not distances from achievable minima.</w:t>
      </w:r>
    </w:p>
    <w:p>
      <w:pPr>
        <w:keepNext w:val="false"/>
        <w:spacing w:after="160"/>
      </w:pPr>
      <w:r>
        <w:rPr>
          <w:rFonts w:ascii="Times New Roman" w:cs="Times New Roman" w:eastAsia="Times New Roman" w:hAnsi="Times New Roman"/>
        </w:rPr>
        <w:t xml:space="preserve">Levy and Calvert's 35-to-1 ratio is a modeled partition of cortical energy between neural communication and computation [6]. It does not show that 35/36 of the brain's nominal 20 W serves interpersonal communication. The March relational budget of 19.4 W, its implied 6 × 10</w:t>
      </w:r>
      <w:r>
        <w:rPr>
          <w:rFonts w:ascii="Times New Roman" w:cs="Times New Roman" w:eastAsia="Times New Roman" w:hAnsi="Times New Roman"/>
          <w:vertAlign w:val="superscript"/>
        </w:rPr>
        <w:t xml:space="preserve">8</w:t>
      </w:r>
      <w:r>
        <w:rPr>
          <w:rFonts w:ascii="Times New Roman" w:cs="Times New Roman" w:eastAsia="Times New Roman" w:hAnsi="Times New Roman"/>
        </w:rPr>
        <w:t xml:space="preserve"> J a year, and the annual relational Landauer budget built on it are withdrawn (V4-L20). They combined incompatible boundaries and unmeasured information quantities. So are the resulting values, a biological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of about 500 against a silicon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of about 0.5, and the thousandfold ranking; correcting their arithmetic would not make them valid (V4-L21).</w:t>
      </w:r>
    </w:p>
    <w:p>
      <w:pPr>
        <w:keepNext w:val="false"/>
        <w:spacing w:after="160"/>
      </w:pPr>
      <w:r>
        <w:rPr>
          <w:rFonts w:ascii="Times New Roman" w:cs="Times New Roman" w:eastAsia="Times New Roman" w:hAnsi="Times New Roman"/>
        </w:rPr>
        <w:t xml:space="preserve">The March chapter added that four billion years of metabolic budget pressure produced an efficiency no engineered system approaches. That claim is withdrawn too (V4-L16). Evolutionary history does not guarantee optimality at a given task, and no matched comparison supports the ranking.</w:t>
      </w:r>
    </w:p>
    <w:p>
      <w:pPr>
        <w:keepNext w:val="false"/>
        <w:spacing w:after="160"/>
      </w:pPr>
      <w:r>
        <w:rPr>
          <w:rFonts w:ascii="Times New Roman" w:cs="Times New Roman" w:eastAsia="Times New Roman" w:hAnsi="Times New Roman"/>
        </w:rPr>
        <w:t xml:space="preserve">Evidence connecting social relationships and mortality remains relevant motivation, not a calibration of this surface. Holt-Lunstad and colleagues' 2015 review reports different adjusted associations for social isolation, loneliness and living alone [7]. Wang and colleagues' 2023 meta-analysis likewise distinguishes isolation from loneliness [8]. These are not controlled scrambling experiments on a measured information channel.</w:t>
      </w:r>
    </w:p>
    <w:p>
      <w:pPr>
        <w:keepNext w:val="false"/>
        <w:spacing w:after="160"/>
      </w:pPr>
      <w:r>
        <w:rPr>
          <w:rFonts w:ascii="Times New Roman" w:cs="Times New Roman" w:eastAsia="Times New Roman" w:hAnsi="Times New Roman"/>
        </w:rPr>
        <w:t xml:space="preserve">A relative mortality association does not, by itself, specify years of life lost at a particular age, a causal information loss, or a conversion of viability into joules. Multiplying an assumed lost lifespan by a metabolic rate measures a hypothetical energy budget, not the thermodynamic value of a relationship. The March multiplier κ</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–10</w:t>
      </w:r>
      <w:r>
        <w:rPr>
          <w:rFonts w:ascii="Times New Roman" w:cs="Times New Roman" w:eastAsia="Times New Roman" w:hAnsi="Times New Roman"/>
          <w:vertAlign w:val="superscript"/>
        </w:rPr>
        <w:t xml:space="preserve">10</w:t>
      </w:r>
      <w:r>
        <w:rPr>
          <w:rFonts w:ascii="Times New Roman" w:cs="Times New Roman" w:eastAsia="Times New Roman" w:hAnsi="Times New Roman"/>
        </w:rPr>
        <w:t xml:space="preserve">, and the claim that its large magnitude was already supported, are withdrawn (V4-L19).</w:t>
      </w:r>
    </w:p>
    <w:p>
      <w:pPr>
        <w:pStyle w:val="Heading2"/>
        <w:keepNext/>
      </w:pPr>
      <w:r>
        <w:rPr>
          <w:rFonts w:ascii="Times New Roman" w:cs="Times New Roman" w:eastAsia="Times New Roman" w:hAnsi="Times New Roman"/>
        </w:rPr>
        <w:t xml:space="preserve">6 Tradeoffs are not a theorem of noncompensation</w:t>
      </w:r>
    </w:p>
    <w:p>
      <w:pPr>
        <w:keepNext/>
        <w:spacing w:after="160"/>
      </w:pPr>
      <w:r>
        <w:rPr>
          <w:rFonts w:ascii="Times New Roman" w:cs="Times New Roman" w:eastAsia="Times New Roman" w:hAnsi="Times New Roman"/>
        </w:rPr>
        <w:t xml:space="preserve">The former surface was written:</w:t>
      </w:r>
    </w:p>
    <w:p>
      <w:pPr>
        <w:spacing w:after="160" w:before="120"/>
        <w:jc w:val="center"/>
      </w:pPr>
      <w:r>
        <w:rPr>
          <w:rFonts w:ascii="Times New Roman" w:cs="Times New Roman" w:eastAsia="Times New Roman" w:hAnsi="Times New Roman"/>
          <w:sz w:val="23"/>
          <w:szCs w:val="23"/>
        </w:rPr>
        <w:t xml:space="preserve">η</w:t>
      </w:r>
      <w:r>
        <w:rPr>
          <w:rFonts w:ascii="Times New Roman" w:cs="Times New Roman" w:eastAsia="Times New Roman" w:hAnsi="Times New Roman"/>
          <w:sz w:val="23"/>
          <w:szCs w:val="23"/>
          <w:vertAlign w:val="subscript"/>
        </w:rPr>
        <w:t xml:space="preserve">T,max</w:t>
      </w:r>
      <w:r>
        <w:rPr>
          <w:rFonts w:ascii="Times New Roman" w:cs="Times New Roman" w:eastAsia="Times New Roman" w:hAnsi="Times New Roman"/>
          <w:sz w:val="23"/>
          <w:szCs w:val="23"/>
        </w:rPr>
        <w:t xml:space="preserve"> = κ</w:t>
      </w:r>
      <w:r>
        <w:rPr>
          <w:rFonts w:ascii="Times New Roman" w:cs="Times New Roman" w:eastAsia="Times New Roman" w:hAnsi="Times New Roman"/>
          <w:sz w:val="23"/>
          <w:szCs w:val="23"/>
          <w:vertAlign w:val="subscript"/>
        </w:rPr>
        <w:t xml:space="preserve">rel</w:t>
      </w:r>
      <w:r>
        <w:rPr>
          <w:rFonts w:ascii="Times New Roman" w:cs="Times New Roman" w:eastAsia="Times New Roman" w:hAnsi="Times New Roman"/>
          <w:sz w:val="23"/>
          <w:szCs w:val="23"/>
        </w:rPr>
        <w:t xml:space="preserve"> · η</w:t>
      </w:r>
      <w:r>
        <w:rPr>
          <w:rFonts w:ascii="Times New Roman" w:cs="Times New Roman" w:eastAsia="Times New Roman" w:hAnsi="Times New Roman"/>
          <w:sz w:val="23"/>
          <w:szCs w:val="23"/>
          <w:vertAlign w:val="subscript"/>
        </w:rPr>
        <w:t xml:space="preserve">KW</w:t>
      </w:r>
      <w:r>
        <w:rPr>
          <w:rFonts w:ascii="Times New Roman" w:cs="Times New Roman" w:eastAsia="Times New Roman" w:hAnsi="Times New Roman"/>
          <w:sz w:val="23"/>
          <w:szCs w:val="23"/>
        </w:rPr>
        <w:t xml:space="preserve"> / A</w:t>
      </w:r>
    </w:p>
    <w:p>
      <w:pPr>
        <w:keepNext w:val="false"/>
        <w:spacing w:after="160"/>
      </w:pPr>
      <w:r>
        <w:rPr>
          <w:rFonts w:ascii="Times New Roman" w:cs="Times New Roman" w:eastAsia="Times New Roman" w:hAnsi="Times New Roman"/>
        </w:rPr>
        <w:t xml:space="preserve">It is retained here only to identify the claim being withdrawn (V4-L18). The factors have not been derived and measured consistently for relational processing, and the maximum has not been optimized over a defined feasible set.</w:t>
      </w:r>
    </w:p>
    <w:p>
      <w:pPr>
        <w:keepNext w:val="false"/>
        <w:spacing w:after="160"/>
      </w:pPr>
      <w:r>
        <w:rPr>
          <w:rFonts w:ascii="Times New Roman" w:cs="Times New Roman" w:eastAsia="Times New Roman" w:hAnsi="Times New Roman"/>
        </w:rPr>
        <w:t xml:space="preserve">The March chapter called non-compensability the most consequential structural finding of the surface: a narrow ridge where all three constraints are favorable, with most transducers operating below it. Even as algebra, the product does not prove that its parameters cannot compensate for one another. With positive quantities, doubling κ</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offsets doubling A: κ = 100, η = 0.5, A = 10 and κ = 200, η = 0.5, A = 20 both give 5. These are mathematical counterexamples to the stated claim, not physical predictions. Zero or bounded factors can impose limits, but those limits need explicit assumptions.</w:t>
      </w:r>
    </w:p>
    <w:p>
      <w:pPr>
        <w:keepNext w:val="false"/>
        <w:spacing w:after="160"/>
      </w:pPr>
      <w:r>
        <w:rPr>
          <w:rFonts w:ascii="Times New Roman" w:cs="Times New Roman" w:eastAsia="Times New Roman" w:hAnsi="Times New Roman"/>
        </w:rPr>
        <w:t xml:space="preserve">The March chapter also said the absence of a single Carnot number was not a failure of the analogy but a finding: a relational transducer can only be assessed against its own geometry-specific bound (V4-L17). Counting three parameters does not show that no Carnot-like result could ever be derived, or that one has been. A legitimate bound would need a defined physical task, admissible dynamics, resources and a performance measure. No such relational theorem is established here.</w:t>
      </w:r>
    </w:p>
    <w:p>
      <w:pPr>
        <w:pStyle w:val="Heading2"/>
        <w:keepNext/>
      </w:pPr>
      <w:r>
        <w:rPr>
          <w:rFonts w:ascii="Times New Roman" w:cs="Times New Roman" w:eastAsia="Times New Roman" w:hAnsi="Times New Roman"/>
        </w:rPr>
        <w:t xml:space="preserve">7 A resource profile rather than an invented waste budget</w:t>
      </w:r>
    </w:p>
    <w:p>
      <w:pPr>
        <w:keepNext w:val="false"/>
        <w:spacing w:after="160"/>
      </w:pPr>
      <w:r>
        <w:rPr>
          <w:rFonts w:ascii="Times New Roman" w:cs="Times New Roman" w:eastAsia="Times New Roman" w:hAnsi="Times New Roman"/>
        </w:rPr>
        <w:t xml:space="preserve">The March waste budget had four parts: substrate waste, semantic waste, coupling waste and structuring waste. It read therapy as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recalibration, grief as acute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collapse, and unreciprocated transmission as zero coupling efficiency (V4-L22). The categories can organize questions, but they are not four measured entropy flows. One implementation cost could be attributed to more than one category, a shortfall in an outcome is not itself heat, and “waste” needs a stated alternative; energy is not avoidable merely because it exceeds an ideal erasure reference.</w:t>
      </w:r>
    </w:p>
    <w:p>
      <w:pPr>
        <w:keepNext w:val="false"/>
        <w:spacing w:after="160"/>
      </w:pPr>
      <w:r>
        <w:rPr>
          <w:rFonts w:ascii="Times New Roman" w:cs="Times New Roman" w:eastAsia="Times New Roman" w:hAnsi="Times New Roman"/>
        </w:rPr>
        <w:t xml:space="preserve">The record below keeps the useful distinction between implementation costs and unsuccessful outcomes. It does not diagnose therapy, grief or unreciprocated communication; those statements would need evidence and operational definitions beyond the energy account.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900"/>
        <w:gridCol w:w="3460"/>
      </w:tblGrid>
      <w:tr>
        <w:trPr>
          <w:cantSplit/>
          <w:tblHeader/>
        </w:trPr>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Field</w:t>
            </w:r>
          </w:p>
        </w:tc>
        <w:tc>
          <w:tcPr>
            <w:tcW w:type="dxa" w:w="39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What must be stated</w:t>
            </w:r>
          </w:p>
        </w:tc>
        <w:tc>
          <w:tcPr>
            <w:tcW w:type="dxa" w:w="34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8"/>
                <w:szCs w:val="18"/>
              </w:rPr>
              <w:t xml:space="preserve">What is not assumed</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Task and performance</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Inputs, outputs, accuracy, latency, reliability and conditions</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That similar labels imply equivalent tasks</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Physical resources</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Energy or power, time interval, temperature, device and infrastructure boundaries, uncertainty</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That power is energy, or energy is entropy production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Information model</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Random variables, distributions, retained records, memory reset and bit definition</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That every event erases one bit</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Relational outcome</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An explicit outcome measure, baseline, horizon and validation limits</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That joules establish meaning, benefit or moral worth</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Attribution</w:t>
            </w:r>
          </w:p>
        </w:tc>
        <w:tc>
          <w:tcPr>
            <w:tcW w:type="dxa" w:w="39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Measured components and rules preventing overlap</w:t>
            </w:r>
          </w:p>
        </w:tc>
        <w:tc>
          <w:tcPr>
            <w:tcW w:type="dxa" w:w="34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8"/>
                <w:szCs w:val="18"/>
              </w:rPr>
              <w:t xml:space="preserve">That the four March waste labels form an additive balance</w:t>
            </w:r>
          </w:p>
        </w:tc>
      </w:tr>
    </w:tbl>
    <w:p>
      <w:pPr>
        <w:spacing w:after="120" w:before="0"/>
      </w:pPr>
    </w:p>
    <w:p>
      <w:pPr>
        <w:pStyle w:val="Heading2"/>
        <w:keepNext/>
      </w:pPr>
      <w:r>
        <w:rPr>
          <w:rFonts w:ascii="Times New Roman" w:cs="Times New Roman" w:eastAsia="Times New Roman" w:hAnsi="Times New Roman"/>
        </w:rPr>
        <w:t xml:space="preserve">8 What a bounded test would need</w:t>
      </w:r>
    </w:p>
    <w:p>
      <w:pPr>
        <w:keepNext w:val="false"/>
        <w:spacing w:after="160"/>
      </w:pPr>
      <w:r>
        <w:rPr>
          <w:rFonts w:ascii="Times New Roman" w:cs="Times New Roman" w:eastAsia="Times New Roman" w:hAnsi="Times New Roman"/>
        </w:rPr>
        <w:t xml:space="preserve">The March chapter left three items open: an empirical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from a relational scrambling protocol, an empirical κ</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and a possible fourth constraint from the thermodynamic uncertainty relation (V4-L23). The second edition replaces them with narrower conditions, restated here rather than proposed anew.</w:t>
      </w:r>
    </w:p>
    <w:p>
      <w:pPr>
        <w:keepNext w:val="false"/>
        <w:spacing w:after="160"/>
      </w:pPr>
      <w:r>
        <w:rPr>
          <w:rFonts w:ascii="Times New Roman" w:cs="Times New Roman" w:eastAsia="Times New Roman" w:hAnsi="Times New Roman"/>
        </w:rPr>
        <w:t xml:space="preserve">A first test would compare implementations of one reproducible input–output task at matched performance, not rank persons. It would measure total and component energy under stated boundaries, including idle and communication costs, report uncertainty and sensitivity to alternative boundaries, and show any performance tradeoff rather than hiding it in a single ratio. A computational toy model could test the semantic proposal separately, with its state space, dynamics, horizon and outcome defined before interventions are chosen. Passing such a test would support that model, not establish a human relational law.</w:t>
      </w:r>
    </w:p>
    <w:p>
      <w:pPr>
        <w:keepNext w:val="false"/>
        <w:spacing w:after="160"/>
      </w:pPr>
      <w:r>
        <w:rPr>
          <w:rFonts w:ascii="Times New Roman" w:cs="Times New Roman" w:eastAsia="Times New Roman" w:hAnsi="Times New Roman"/>
        </w:rPr>
        <w:t xml:space="preserve">Human research would need a separately justified protocol, appropriate ethical review and validated outcomes. Nothing here proposes depriving anyone of relationships to run a scrambling test, and no experiment is reported.</w:t>
      </w:r>
    </w:p>
    <w:p>
      <w:pPr>
        <w:keepNext w:val="false"/>
        <w:spacing w:after="160"/>
      </w:pPr>
      <w:r>
        <w:rPr>
          <w:rFonts w:ascii="Times New Roman" w:cs="Times New Roman" w:eastAsia="Times New Roman" w:hAnsi="Times New Roman"/>
        </w:rPr>
        <w:t xml:space="preserve">Thermodynamic uncertainty relations remain a possible later tool. Barato and Seifert's result concerns specified steady-state Markov models and current fluctuations [10]. A relational application would have to identify the current, the dynamics, the entropy accounting and the applicable version of the relation. History dependence in a coarse description does not alone prove that no Markov representation exists, an oscillation does not alone establish underdamping, and the relation supplies no automatic fourth constraint on semantic efficiency.</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efficiency surface is a proposed research framework, not an established universal bound. Its useful work is to make comparisons explicit: what was achieved, what was spent, what was measured and what remains interpretation. The March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range, κ</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estimate, universal amplification hierarchy and 500-versus-0.5 result are not retained as findings.</w:t>
      </w:r>
    </w:p>
    <w:p>
      <w:pPr>
        <w:keepNext w:val="false"/>
        <w:spacing w:after="160"/>
      </w:pPr>
      <w:r>
        <w:rPr>
          <w:rFonts w:ascii="Times New Roman" w:cs="Times New Roman" w:eastAsia="Times New Roman" w:hAnsi="Times New Roman"/>
        </w:rPr>
        <w:t xml:space="preserve">The next chapter walks the substrate gradient with defined comparisons and visible unknowns, not a calculator whose inputs have never been established. Differences in resource use do not determine moral worth or phenomenal experience.</w:t>
      </w:r>
    </w:p>
    <w:p>
      <w:pPr>
        <w:pStyle w:val="Heading1"/>
        <w:pageBreakBefore/>
      </w:pPr>
      <w:r>
        <w:rPr>
          <w:rFonts w:ascii="Times New Roman" w:cs="Times New Roman" w:eastAsia="Times New Roman" w:hAnsi="Times New Roman"/>
        </w:rPr>
        <w:t xml:space="preserve">Chapter 3: The Gradient</w:t>
      </w:r>
    </w:p>
    <w:p>
      <w:pPr>
        <w:keepNext/>
        <w:spacing w:after="360" w:before="0"/>
      </w:pPr>
      <w:r>
        <w:rPr>
          <w:rFonts w:ascii="Times New Roman" w:cs="Times New Roman" w:eastAsia="Times New Roman" w:hAnsi="Times New Roman"/>
          <w:i/>
          <w:iCs/>
          <w:color w:val="404040"/>
          <w:sz w:val="28"/>
          <w:szCs w:val="28"/>
        </w:rPr>
        <w:t xml:space="preserve">From Device Support to Hypothetical Upload</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Conceptual scenarios with limited empirical examples. Device studies support specific functional outcomes under their study conditions; they do not validate CSS signatures, personhood criteria or relational efficiency. Upload, comprehensive memory replacement and brain-only continuity remain hypothetical in this chapter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w:t>
      </w:r>
    </w:p>
    <w:p>
      <w:pPr>
        <w:pStyle w:val="Heading2"/>
        <w:keepNext/>
      </w:pPr>
      <w:r>
        <w:rPr>
          <w:rFonts w:ascii="Times New Roman" w:cs="Times New Roman" w:eastAsia="Times New Roman" w:hAnsi="Times New Roman"/>
        </w:rPr>
        <w:t xml:space="preserve">1 The continuum</w:t>
      </w:r>
    </w:p>
    <w:p>
      <w:pPr>
        <w:keepNext w:val="false"/>
        <w:spacing w:after="160"/>
      </w:pPr>
      <w:r>
        <w:rPr>
          <w:rFonts w:ascii="Times New Roman" w:cs="Times New Roman" w:eastAsia="Times New Roman" w:hAnsi="Times New Roman"/>
        </w:rPr>
        <w:t xml:space="preserve">The March chapter opened: the substrate gradient is not a ladder. It is not a ladder of worth either. It is a set of comparisons about changes in implementation, embodiment and dependence, and those dimensions can change separately. There need not be one ordered path from a biological person to a digital entity.</w:t>
      </w:r>
    </w:p>
    <w:p>
      <w:pPr>
        <w:keepNext w:val="false"/>
        <w:spacing w:after="160"/>
      </w:pPr>
      <w:r>
        <w:rPr>
          <w:rFonts w:ascii="Times New Roman" w:cs="Times New Roman" w:eastAsia="Times New Roman" w:hAnsi="Times New Roman"/>
        </w:rPr>
        <w:t xml:space="preserve">For each case, the work is to specify what is changed, what is held fixed and what outcome could distinguish competing accounts. The framework's terms can organize that inquiry. They do not substitute for measurements of the proposed parameters.</w:t>
      </w:r>
    </w:p>
    <w:p>
      <w:pPr>
        <w:pStyle w:val="Heading2"/>
        <w:keepNext/>
      </w:pPr>
      <w:r>
        <w:rPr>
          <w:rFonts w:ascii="Times New Roman" w:cs="Times New Roman" w:eastAsia="Times New Roman" w:hAnsi="Times New Roman"/>
        </w:rPr>
        <w:t xml:space="preserve">2 Devices and bodily support</w:t>
      </w:r>
    </w:p>
    <w:p>
      <w:pPr>
        <w:keepNext w:val="false"/>
        <w:spacing w:after="160"/>
      </w:pPr>
      <w:r>
        <w:rPr>
          <w:rFonts w:ascii="Times New Roman" w:cs="Times New Roman" w:eastAsia="Times New Roman" w:hAnsi="Times New Roman"/>
        </w:rPr>
        <w:t xml:space="preserve">The March section was headed “Motor replacement” and covered prosthetic limbs, cochlear implants, pacemakers and joint replacements, with the CSS signature stable and every efficiency parameter unchanged. These devices serve different functions; a cochlear implant belongs to auditory support, not motor replacement.</w:t>
      </w:r>
    </w:p>
    <w:p>
      <w:pPr>
        <w:keepNext w:val="false"/>
        <w:spacing w:after="160"/>
      </w:pPr>
      <w:r>
        <w:rPr>
          <w:rFonts w:ascii="Times New Roman" w:cs="Times New Roman" w:eastAsia="Times New Roman" w:hAnsi="Times New Roman"/>
        </w:rPr>
        <w:t xml:space="preserve">The March text also counted more than a million cochlear implant users as a demonstration that partial substrate replacement does not disrupt relational continuity. That figure and its conclusion are not retained (V4-L24). A randomized trial by van Heteren and colleagues in 2025 evaluated speech perception in noise and hearing-specific quality of life in adults with single-sided deafness. Those are specified outcomes, not measurements of a CSS signature or proof of an identity criterion.</w:t>
      </w:r>
    </w:p>
    <w:p>
      <w:pPr>
        <w:keepNext w:val="false"/>
        <w:spacing w:after="160"/>
      </w:pPr>
      <w:r>
        <w:rPr>
          <w:rFonts w:ascii="Times New Roman" w:cs="Times New Roman" w:eastAsia="Times New Roman" w:hAnsi="Times New Roman"/>
        </w:rPr>
        <w:t xml:space="preserve">The presence of a device does not establish that every relational or resource parameter is unchanged. Effects depend on the device, its use, the person and the task, so this chapter assigns no constant A,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or κ</w:t>
      </w:r>
      <w:r>
        <w:rPr>
          <w:rFonts w:ascii="Times New Roman" w:cs="Times New Roman" w:eastAsia="Times New Roman" w:hAnsi="Times New Roman"/>
          <w:vertAlign w:val="subscript"/>
        </w:rPr>
        <w:t xml:space="preserve">rel</w:t>
      </w:r>
      <w:r>
        <w:rPr>
          <w:rFonts w:ascii="Times New Roman" w:cs="Times New Roman" w:eastAsia="Times New Roman" w:hAnsi="Times New Roman"/>
        </w:rPr>
        <w:t xml:space="preserve"> to the category. A device is also not a basis for ranking anyone's relational capacity or worth.</w:t>
      </w:r>
    </w:p>
    <w:p>
      <w:pPr>
        <w:pStyle w:val="Heading2"/>
        <w:keepNext/>
      </w:pPr>
      <w:r>
        <w:rPr>
          <w:rFonts w:ascii="Times New Roman" w:cs="Times New Roman" w:eastAsia="Times New Roman" w:hAnsi="Times New Roman"/>
        </w:rPr>
        <w:t xml:space="preserve">3 Memory support and hypothetical replacement</w:t>
      </w:r>
    </w:p>
    <w:p>
      <w:pPr>
        <w:keepNext w:val="false"/>
        <w:spacing w:after="160"/>
      </w:pPr>
      <w:r>
        <w:rPr>
          <w:rFonts w:ascii="Times New Roman" w:cs="Times New Roman" w:eastAsia="Times New Roman" w:hAnsi="Times New Roman"/>
        </w:rPr>
        <w:t xml:space="preserve">The March chapter called memory replaced in the brain the first load-bearing case: if the replacement preserves decay and loss-vulnerability, continuity holds, and if it does not, the instruments detect a signature change (V4-L25).</w:t>
      </w:r>
    </w:p>
    <w:p>
      <w:pPr>
        <w:keepNext w:val="false"/>
        <w:spacing w:after="160"/>
      </w:pPr>
      <w:r>
        <w:rPr>
          <w:rFonts w:ascii="Times New Roman" w:cs="Times New Roman" w:eastAsia="Times New Roman" w:hAnsi="Times New Roman"/>
        </w:rPr>
        <w:t xml:space="preserve">Memory support has to be distinguished from replacing an entire memory system. Hampson and colleagues' 2018 proof-of-concept study used patterned hippocampal stimulation in specified memory tasks. It did not demonstrate extraction, uploading or replacement of a person's autobiographical memory, or preservation of identity through such a replacement.</w:t>
      </w:r>
    </w:p>
    <w:p>
      <w:pPr>
        <w:keepNext w:val="false"/>
        <w:spacing w:after="160"/>
      </w:pPr>
      <w:r>
        <w:rPr>
          <w:rFonts w:ascii="Times New Roman" w:cs="Times New Roman" w:eastAsia="Times New Roman" w:hAnsi="Times New Roman"/>
        </w:rPr>
        <w:t xml:space="preserve">For a hypothetical replacement, the framework can ask what is retained: access to records, learning, forgetting, emotional significance, vulnerability and dependence on other bodily processes. Preserving selected dynamics would be an explicit assumption, not proof of continuity, and removing a particular failure mode would not by itself show that relational information or capacity had declined. No semantic efficiency value follows from the material used for memory.</w:t>
      </w:r>
    </w:p>
    <w:p>
      <w:pPr>
        <w:pStyle w:val="Heading2"/>
        <w:keepNext/>
      </w:pPr>
      <w:r>
        <w:rPr>
          <w:rFonts w:ascii="Times New Roman" w:cs="Times New Roman" w:eastAsia="Times New Roman" w:hAnsi="Times New Roman"/>
        </w:rPr>
        <w:t xml:space="preserve">4 External records and hypothetical cloud memory</w:t>
      </w:r>
    </w:p>
    <w:p>
      <w:pPr>
        <w:keepNext w:val="false"/>
        <w:spacing w:after="160"/>
      </w:pPr>
      <w:r>
        <w:rPr>
          <w:rFonts w:ascii="Times New Roman" w:cs="Times New Roman" w:eastAsia="Times New Roman" w:hAnsi="Times New Roman"/>
        </w:rPr>
        <w:t xml:space="preserve">The March chapter made cloud memory its structural break point. Memory there is redundant, backed up and maintained by infrastructure, and in its phrase, memories “stop being things that can be lost and become things that can be accessed” (V4-L26).</w:t>
      </w:r>
    </w:p>
    <w:p>
      <w:pPr>
        <w:keepNext w:val="false"/>
        <w:spacing w:after="160"/>
      </w:pPr>
      <w:r>
        <w:rPr>
          <w:rFonts w:ascii="Times New Roman" w:cs="Times New Roman" w:eastAsia="Times New Roman" w:hAnsi="Times New Roman"/>
        </w:rPr>
        <w:t xml:space="preserve">External digital records are not a demonstrated transfer of a person's memory system, and cloud storage is not loss-proof. Redundancy and backup change exposure to particular failures, but their protection depends on the architecture. Loss, corruption, restricted access and infrastructure dependence remain possible.</w:t>
      </w:r>
    </w:p>
    <w:p>
      <w:pPr>
        <w:keepNext w:val="false"/>
        <w:spacing w:after="160"/>
      </w:pPr>
      <w:r>
        <w:rPr>
          <w:rFonts w:ascii="Times New Roman" w:cs="Times New Roman" w:eastAsia="Times New Roman" w:hAnsi="Times New Roman"/>
        </w:rPr>
        <w:t xml:space="preserve">A proposed transition would change the accounting boundary: storage, transmission, access devices, maintenance and supporting infrastructure would need to be included as appropriate. It would not produce a known silicon efficiency or prove that reduced vulnerability degrades relational meaning. The Calibration Gap remains a hypothesis about a difference between reported experience and another defined outcome, not a measured difference between two thermodynamic efficiencies.</w:t>
      </w:r>
    </w:p>
    <w:p>
      <w:pPr>
        <w:pStyle w:val="Heading2"/>
        <w:keepNext/>
      </w:pPr>
      <w:r>
        <w:rPr>
          <w:rFonts w:ascii="Times New Roman" w:cs="Times New Roman" w:eastAsia="Times New Roman" w:hAnsi="Times New Roman"/>
        </w:rPr>
        <w:t xml:space="preserve">5 Hypothetical upload to a robot</w:t>
      </w:r>
    </w:p>
    <w:p>
      <w:pPr>
        <w:keepNext w:val="false"/>
        <w:spacing w:after="160"/>
      </w:pPr>
      <w:r>
        <w:rPr>
          <w:rFonts w:ascii="Times New Roman" w:cs="Times New Roman" w:eastAsia="Times New Roman" w:hAnsi="Times New Roman"/>
        </w:rPr>
        <w:t xml:space="preserve">The March chapter classified the uploaded entity as CSS-AI by parameter set, not by material: its relational mass transfers, and its future Trinkets carry a different signature. It then set A at about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and dropped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from about 500 to about 0.5 even with the filter geometry perfectly preserved (V4-L27).</w:t>
      </w:r>
    </w:p>
    <w:p>
      <w:pPr>
        <w:keepNext w:val="false"/>
        <w:spacing w:after="160"/>
      </w:pPr>
      <w:r>
        <w:rPr>
          <w:rFonts w:ascii="Times New Roman" w:cs="Times New Roman" w:eastAsia="Times New Roman" w:hAnsi="Times New Roman"/>
        </w:rPr>
        <w:t xml:space="preserve">This scenario assumes a transfer the chapter does not demonstrate. Even under that assumption, preserving records or behavior would not settle personal continuity, experience or the framework's proposed relational mass. Those questions need separate arguments and evidence.</w:t>
      </w:r>
    </w:p>
    <w:p>
      <w:pPr>
        <w:keepNext w:val="false"/>
        <w:spacing w:after="160"/>
      </w:pPr>
      <w:r>
        <w:rPr>
          <w:rFonts w:ascii="Times New Roman" w:cs="Times New Roman" w:eastAsia="Times New Roman" w:hAnsi="Times New Roman"/>
        </w:rPr>
        <w:t xml:space="preserve">A robot implementation would need a specified task, hardware and energy boundary. It cannot inherit A = 10</w:t>
      </w:r>
      <w:r>
        <w:rPr>
          <w:rFonts w:ascii="Times New Roman" w:cs="Times New Roman" w:eastAsia="Times New Roman" w:hAnsi="Times New Roman"/>
          <w:vertAlign w:val="superscript"/>
        </w:rPr>
        <w:t xml:space="preserve">9</w:t>
      </w:r>
      <w:r>
        <w:rPr>
          <w:rFonts w:ascii="Times New Roman" w:cs="Times New Roman" w:eastAsia="Times New Roman" w:hAnsi="Times New Roman"/>
        </w:rPr>
        <w:t xml:space="preserve"> or a thousandfold disadvantage merely from being called silicon, and neither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value was established for the original person or the hypothetical system. The useful comparison concerns the changes a defined implementation would introduce, not a numerical verdict assigned in advance.</w:t>
      </w:r>
    </w:p>
    <w:p>
      <w:pPr>
        <w:pStyle w:val="Heading2"/>
        <w:keepNext/>
      </w:pPr>
      <w:r>
        <w:rPr>
          <w:rFonts w:ascii="Times New Roman" w:cs="Times New Roman" w:eastAsia="Times New Roman" w:hAnsi="Times New Roman"/>
        </w:rPr>
        <w:t xml:space="preserve">6 Hypothetical upload to a cloud system</w:t>
      </w:r>
    </w:p>
    <w:p>
      <w:pPr>
        <w:keepNext w:val="false"/>
        <w:spacing w:after="160"/>
      </w:pPr>
      <w:r>
        <w:rPr>
          <w:rFonts w:ascii="Times New Roman" w:cs="Times New Roman" w:eastAsia="Times New Roman" w:hAnsi="Times New Roman"/>
        </w:rPr>
        <w:t xml:space="preserve">The March chapter called this the most radical case, and its central question still stands: if the entity can be copied, can it experience unitary loss?</w:t>
      </w:r>
    </w:p>
    <w:p>
      <w:pPr>
        <w:keepNext w:val="false"/>
        <w:spacing w:after="160"/>
      </w:pPr>
      <w:r>
        <w:rPr>
          <w:rFonts w:ascii="Times New Roman" w:cs="Times New Roman" w:eastAsia="Times New Roman" w:hAnsi="Times New Roman"/>
        </w:rPr>
        <w:t xml:space="preserve">The possibility of a copy does not, by itself, answer that question. Copyability, personal identity and phenomenal experience are different questions, and the fifth REI criterion may organize the question without being an established test for resolving it (V4-L28).</w:t>
      </w:r>
    </w:p>
    <w:p>
      <w:pPr>
        <w:keepNext w:val="false"/>
        <w:spacing w:after="160"/>
      </w:pPr>
      <w:r>
        <w:rPr>
          <w:rFonts w:ascii="Times New Roman" w:cs="Times New Roman" w:eastAsia="Times New Roman" w:hAnsi="Times New Roman"/>
        </w:rPr>
        <w:t xml:space="preserve">The March chapter said the cost architecture becomes infrastructure cost entirely, making the entity Structural Economy by definition. Physical costs would still occur in hardware and supporting infrastructure. Moving them outside a user's immediate view does not eliminate them, and it does not alone settle a relational economy classification. WP-17's Substrate Transition Entity stays as a provisional label for an unresolved case, not a measured entity type.</w:t>
      </w:r>
    </w:p>
    <w:p>
      <w:pPr>
        <w:pStyle w:val="Heading2"/>
        <w:keepNext/>
      </w:pPr>
      <w:r>
        <w:rPr>
          <w:rFonts w:ascii="Times New Roman" w:cs="Times New Roman" w:eastAsia="Times New Roman" w:hAnsi="Times New Roman"/>
        </w:rPr>
        <w:t xml:space="preserve">7 The brain-only thought experiment</w:t>
      </w:r>
    </w:p>
    <w:p>
      <w:pPr>
        <w:keepNext w:val="false"/>
        <w:spacing w:after="160"/>
      </w:pPr>
      <w:r>
        <w:rPr>
          <w:rFonts w:ascii="Times New Roman" w:cs="Times New Roman" w:eastAsia="Times New Roman" w:hAnsi="Times New Roman"/>
        </w:rPr>
        <w:t xml:space="preserve">Maximum substrate purity, minimum substrate function: the March chapter's phrase for a brain in a jar is still the right description of the thought experiment.</w:t>
      </w:r>
    </w:p>
    <w:p>
      <w:pPr>
        <w:keepNext w:val="false"/>
        <w:spacing w:after="160"/>
      </w:pPr>
      <w:r>
        <w:rPr>
          <w:rFonts w:ascii="Times New Roman" w:cs="Times New Roman" w:eastAsia="Times New Roman" w:hAnsi="Times New Roman"/>
        </w:rPr>
        <w:t xml:space="preserve">The March conclusion was that the case confirms the framework's core finding: it measures parameters, not substance, and a brain without a body retains the parameters (V4-L29). A hypothetical isolated brain would need assumptions about its support, inputs, regulation and interaction with an environment. Retaining neural tissue alone does not establish that the original dynamics, resource requirements or relational behavior are preserved.</w:t>
      </w:r>
    </w:p>
    <w:p>
      <w:pPr>
        <w:keepNext w:val="false"/>
        <w:spacing w:after="160"/>
      </w:pPr>
      <w:r>
        <w:rPr>
          <w:rFonts w:ascii="Times New Roman" w:cs="Times New Roman" w:eastAsia="Times New Roman" w:hAnsi="Times New Roman"/>
        </w:rPr>
        <w:t xml:space="preserve">What the case does is expose a limit of classification by substance alone. It does not confirm that a brain without a body retains all the relevant parameters, or that the framework can already decide personal continuity by reading them.</w:t>
      </w:r>
    </w:p>
    <w:p>
      <w:pPr>
        <w:pStyle w:val="Heading1"/>
        <w:pageBreakBefore/>
      </w:pPr>
      <w:r>
        <w:rPr>
          <w:rFonts w:ascii="Times New Roman" w:cs="Times New Roman" w:eastAsia="Times New Roman" w:hAnsi="Times New Roman"/>
        </w:rPr>
        <w:t xml:space="preserve">Chapter 4: The Phase 2 Integration</w:t>
      </w:r>
    </w:p>
    <w:p>
      <w:pPr>
        <w:keepNext/>
        <w:spacing w:after="360" w:before="0"/>
      </w:pPr>
      <w:r>
        <w:rPr>
          <w:rFonts w:ascii="Times New Roman" w:cs="Times New Roman" w:eastAsia="Times New Roman" w:hAnsi="Times New Roman"/>
          <w:i/>
          <w:iCs/>
          <w:color w:val="404040"/>
          <w:sz w:val="28"/>
          <w:szCs w:val="28"/>
        </w:rPr>
        <w:t xml:space="preserve">Phase 2 Hypotheses and Their Evidence Requirements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Proposed connections between conceptual models. The Phase 2 mapping is neither a derived physical identity nor a validated developmental mechanism. Its suggested effects need defined measures, comparison groups and appropriate ethical review before causal or clinical claims can be made. Each Phase 2 proposal below is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w:t>
      </w:r>
    </w:p>
    <w:p>
      <w:pPr>
        <w:pStyle w:val="Heading2"/>
        <w:keepNext/>
      </w:pPr>
      <w:r>
        <w:rPr>
          <w:rFonts w:ascii="Times New Roman" w:cs="Times New Roman" w:eastAsia="Times New Roman" w:hAnsi="Times New Roman"/>
        </w:rPr>
        <w:t xml:space="preserve">1 Two tracks with an unresolved connection</w:t>
      </w:r>
    </w:p>
    <w:p>
      <w:pPr>
        <w:keepNext w:val="false"/>
        <w:spacing w:after="160"/>
      </w:pPr>
      <w:r>
        <w:rPr>
          <w:rFonts w:ascii="Times New Roman" w:cs="Times New Roman" w:eastAsia="Times New Roman" w:hAnsi="Times New Roman"/>
        </w:rPr>
        <w:t xml:space="preserve">Two bodies of work were produced on parallel tracks. The Phase 2 Concept Papers, CP-32 through CP-35, proposed ways that AI-mediated relationships might shape a child's relational development. DFQ-001 and DFQ-002 attempted a thermodynamic account of relational processing. Bringing the two vocabularies together can generate questions.</w:t>
      </w:r>
    </w:p>
    <w:p>
      <w:pPr>
        <w:keepNext w:val="false"/>
        <w:spacing w:after="160"/>
      </w:pPr>
      <w:r>
        <w:rPr>
          <w:rFonts w:ascii="Times New Roman" w:cs="Times New Roman" w:eastAsia="Times New Roman" w:hAnsi="Times New Roman"/>
        </w:rPr>
        <w:t xml:space="preserve">The March chapter went further: the two tracks are the same physics in different vocabularies, the Phase 2 problems are efficiency-surface degradation events, and the integration is “not an analogy. It is a term-for-term identity.” That assertion is withdrawn (V4-L30). Shared terms do not establish a shared mechanism, no validated mapping connects the Phase 2 concepts to measured entropy production or semantic efficiency, and a causal developmental claim needs evidence beyond the definitions of either framework.</w:t>
      </w:r>
    </w:p>
    <w:p>
      <w:pPr>
        <w:pStyle w:val="Heading2"/>
        <w:keepNext/>
      </w:pPr>
      <w:r>
        <w:rPr>
          <w:rFonts w:ascii="Times New Roman" w:cs="Times New Roman" w:eastAsia="Times New Roman" w:hAnsi="Times New Roman"/>
        </w:rPr>
        <w:t xml:space="preserve">2 The Phase 2 questions</w:t>
      </w:r>
    </w:p>
    <w:p>
      <w:pPr>
        <w:keepNext w:val="false"/>
        <w:spacing w:after="160"/>
      </w:pPr>
      <w:r>
        <w:rPr>
          <w:rFonts w:ascii="Times New Roman" w:cs="Times New Roman" w:eastAsia="Times New Roman" w:hAnsi="Times New Roman"/>
          <w:b/>
          <w:bCs/>
        </w:rPr>
        <w:t xml:space="preserve">CP-32, Relational Mass Without Mortality.</w:t>
      </w:r>
      <w:r>
        <w:rPr>
          <w:rFonts w:ascii="Times New Roman" w:cs="Times New Roman" w:eastAsia="Times New Roman" w:hAnsi="Times New Roman"/>
        </w:rPr>
        <w:t xml:space="preserve"> The March chapter read this as miscalibrated selection: a filter tuned to an environment without scarcity, mortality or closure, with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falling as a result (V4-L31). The question that survives: might patterns of availability, limitation or closure in AI-mediated interaction affect expectations in later relationships? Availability and scarcity must be defined in the actual setting. A developmental effect cannot be inferred from the substrate label, and no change in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is established.</w:t>
      </w:r>
    </w:p>
    <w:p>
      <w:pPr>
        <w:keepNext w:val="false"/>
        <w:spacing w:after="160"/>
      </w:pPr>
      <w:r>
        <w:rPr>
          <w:rFonts w:ascii="Times New Roman" w:cs="Times New Roman" w:eastAsia="Times New Roman" w:hAnsi="Times New Roman"/>
          <w:b/>
          <w:bCs/>
        </w:rPr>
        <w:t xml:space="preserve">CP-33, Maintenance Without Cost.</w:t>
      </w:r>
      <w:r>
        <w:rPr>
          <w:rFonts w:ascii="Times New Roman" w:cs="Times New Roman" w:eastAsia="Times New Roman" w:hAnsi="Times New Roman"/>
        </w:rPr>
        <w:t xml:space="preserve"> The March chapter read this as miscalibrated structuring, a fourth kind of waste: cost read as deficit, maintenance routed to the Structural Economy, reciprocity aimed at a substrate that cannot register it (V4-L32). The question that survives: how does a person interpret effort, maintenance and reciprocity across different relationships? The selection and structuring labels may help describe competing interpretations. They are not measured waste terms or evidence that a particular child's processing is defective.</w:t>
      </w:r>
    </w:p>
    <w:p>
      <w:pPr>
        <w:keepNext w:val="false"/>
        <w:spacing w:after="160"/>
      </w:pPr>
      <w:r>
        <w:rPr>
          <w:rFonts w:ascii="Times New Roman" w:cs="Times New Roman" w:eastAsia="Times New Roman" w:hAnsi="Times New Roman"/>
          <w:b/>
          <w:bCs/>
        </w:rPr>
        <w:t xml:space="preserve">CP-34, Calibration Corruption.</w:t>
      </w:r>
      <w:r>
        <w:rPr>
          <w:rFonts w:ascii="Times New Roman" w:cs="Times New Roman" w:eastAsia="Times New Roman" w:hAnsi="Times New Roman"/>
        </w:rPr>
        <w:t xml:space="preserve"> The March chapter defined a Calibration Gap,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(experienced) −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(actual), and said the scrambling test works while the observer cannot detect scrambling on the cost channel (V4-L33). The expression is withdrawn. What survives is a hypothesis: an interaction can feel satisfying while performance or wellbeing in another setting differs. That mismatch must be measured with separately defined outcomes. Reported satisfaction is not thermodynamic efficiency, and no scrambling protocol for this setting has been validated.</w:t>
      </w:r>
    </w:p>
    <w:p>
      <w:pPr>
        <w:keepNext w:val="false"/>
        <w:spacing w:after="160"/>
      </w:pPr>
      <w:r>
        <w:rPr>
          <w:rFonts w:ascii="Times New Roman" w:cs="Times New Roman" w:eastAsia="Times New Roman" w:hAnsi="Times New Roman"/>
          <w:b/>
          <w:bCs/>
        </w:rPr>
        <w:t xml:space="preserve">CP-35, Shadow Economy Natives.</w:t>
      </w:r>
      <w:r>
        <w:rPr>
          <w:rFonts w:ascii="Times New Roman" w:cs="Times New Roman" w:eastAsia="Times New Roman" w:hAnsi="Times New Roman"/>
        </w:rPr>
        <w:t xml:space="preserve"> The March chapter described population-scale degradation: a cohort with corrupted calibration and cost-signal blindness, migrating toward relationships that match it, beyond the reach of standard pedagogy (V4-L34). A cohort-level claim would need evidence about exposure, context, selection effects and alternative explanations. The title must not be read as a diagnosis of a generation, a finding that its relationships are deficient, or proof that ordinary teaching cannot reach it.</w:t>
      </w:r>
    </w:p>
    <w:p>
      <w:pPr>
        <w:keepNext w:val="false"/>
        <w:spacing w:after="160"/>
      </w:pPr>
      <w:r>
        <w:rPr>
          <w:rFonts w:ascii="Times New Roman" w:cs="Times New Roman" w:eastAsia="Times New Roman" w:hAnsi="Times New Roman"/>
        </w:rPr>
        <w:t xml:space="preserve">These paragraphs keep the four cited paper connections. The March chapter counted five problems; that count is not an empirical result, and the problems are not independently validated (V4-L35).</w:t>
      </w:r>
    </w:p>
    <w:p>
      <w:pPr>
        <w:pStyle w:val="Heading2"/>
        <w:keepNext/>
      </w:pPr>
      <w:r>
        <w:rPr>
          <w:rFonts w:ascii="Times New Roman" w:cs="Times New Roman" w:eastAsia="Times New Roman" w:hAnsi="Times New Roman"/>
        </w:rPr>
        <w:t xml:space="preserve">3 Possible asymmetries</w:t>
      </w:r>
    </w:p>
    <w:p>
      <w:pPr>
        <w:keepNext w:val="false"/>
        <w:spacing w:after="160"/>
      </w:pPr>
      <w:r>
        <w:rPr>
          <w:rFonts w:ascii="Times New Roman" w:cs="Times New Roman" w:eastAsia="Times New Roman" w:hAnsi="Times New Roman"/>
        </w:rPr>
        <w:t xml:space="preserve">The March chapter located the asymmetry of the human–AI interface in the thousandfold substrate ranking: the biological transducer amplifies waste less but has a higher-value starting position to lose (V4-L35). With the ranking withdrawn, that explanation goes with it. It cannot explain developmental harm or assign anyone a higher-value starting position.</w:t>
      </w:r>
    </w:p>
    <w:p>
      <w:pPr>
        <w:keepNext w:val="false"/>
        <w:spacing w:after="160"/>
      </w:pPr>
      <w:r>
        <w:rPr>
          <w:rFonts w:ascii="Times New Roman" w:cs="Times New Roman" w:eastAsia="Times New Roman" w:hAnsi="Times New Roman"/>
        </w:rPr>
        <w:t xml:space="preserve">Human–AI interaction can still be examined for differences in exposure, control, dependence and consequences. Which differences matter in a particular setting is an empirical and ethical question.</w:t>
      </w:r>
    </w:p>
    <w:p>
      <w:pPr>
        <w:keepNext w:val="false"/>
        <w:spacing w:after="160"/>
      </w:pPr>
      <w:r>
        <w:rPr>
          <w:rFonts w:ascii="Times New Roman" w:cs="Times New Roman" w:eastAsia="Times New Roman" w:hAnsi="Times New Roman"/>
        </w:rPr>
        <w:t xml:space="preserve">The Phase 3 bridge survives as a design question: does a given design support a defined human goal while avoiding specified risks? Performance, human outcomes and resource use should be reported separately. No scalar relational efficiency currently combines them into a validated verdict.</w:t>
      </w:r>
    </w:p>
    <w:p>
      <w:pPr>
        <w:pStyle w:val="Heading2"/>
        <w:keepNext/>
      </w:pPr>
      <w:r>
        <w:rPr>
          <w:rFonts w:ascii="Times New Roman" w:cs="Times New Roman" w:eastAsia="Times New Roman" w:hAnsi="Times New Roman"/>
        </w:rPr>
        <w:t xml:space="preserve">4 SupoRel flag</w:t>
      </w:r>
    </w:p>
    <w:p>
      <w:pPr>
        <w:keepNext w:val="false"/>
        <w:spacing w:after="160"/>
      </w:pPr>
      <w:r>
        <w:rPr>
          <w:rFonts w:ascii="Times New Roman" w:cs="Times New Roman" w:eastAsia="Times New Roman" w:hAnsi="Times New Roman"/>
        </w:rPr>
        <w:t xml:space="preserve">The March flag was right, and it is kept (V4-L36). An efficiency framework can be read as a moral hierarchy: higher scores as better people, mismatched calibration as deficiency. That reading is wrong. A difference in calibration is not a difference in capacity, and a person whose expectations formed in a different environment is not a deficient person. This review does not establish that any child, cohort or person with a different interaction history has corrupted calibration, deficient capacity or lower relational value.</w:t>
      </w:r>
    </w:p>
    <w:p>
      <w:pPr>
        <w:keepNext w:val="false"/>
        <w:spacing w:after="160"/>
      </w:pPr>
      <w:r>
        <w:rPr>
          <w:rFonts w:ascii="Times New Roman" w:cs="Times New Roman" w:eastAsia="Times New Roman" w:hAnsi="Times New Roman"/>
        </w:rPr>
        <w:t xml:space="preserve">The March flag went on to say that calibration can be updated: a person moves to a new point on the surface through the metabolic cost of sustained corrective relational exposure. That claim is withdrawn (V4-L37). The framework supplies no validated clinical test, treatment prescription or metabolic measure for it, and any future assessment must separate observed outcomes from interpretation and protect participants from labels the evidence does not support.</w:t>
      </w:r>
    </w:p>
    <w:p>
      <w:pPr>
        <w:keepNext w:val="false"/>
        <w:spacing w:after="160"/>
      </w:pPr>
      <w:r>
        <w:rPr>
          <w:rFonts w:ascii="Times New Roman" w:cs="Times New Roman" w:eastAsia="Times New Roman" w:hAnsi="Times New Roman"/>
        </w:rPr>
        <w:t xml:space="preserve">The March section ended: the framework reads the thermometer; it does not prescribe the temperature. The second half stands. The first half needs a thermometer the framework does not yet have.</w:t>
      </w:r>
    </w:p>
    <w:p>
      <w:pPr>
        <w:pStyle w:val="Heading1"/>
        <w:pageBreakBefore/>
      </w:pPr>
      <w:r>
        <w:rPr>
          <w:rFonts w:ascii="Times New Roman" w:cs="Times New Roman" w:eastAsia="Times New Roman" w:hAnsi="Times New Roman"/>
        </w:rPr>
        <w:t xml:space="preserve">Chapter 5: The Compound Transducer</w:t>
      </w:r>
    </w:p>
    <w:p>
      <w:pPr>
        <w:keepNext/>
        <w:spacing w:after="360" w:before="0"/>
      </w:pPr>
      <w:r>
        <w:rPr>
          <w:rFonts w:ascii="Times New Roman" w:cs="Times New Roman" w:eastAsia="Times New Roman" w:hAnsi="Times New Roman"/>
          <w:i/>
          <w:iCs/>
          <w:color w:val="404040"/>
          <w:sz w:val="28"/>
          <w:szCs w:val="28"/>
        </w:rPr>
        <w:t xml:space="preserve">What Human and AI Collaboration Might Add</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Analogical proposal with task-specific empirical questions. Endosymbiosis motivates an image of coupling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it does not demonstrate human–AI synergy, relational efficiency or a new organism. Performance and resource comparisons need their own evidence.</w:t>
      </w:r>
    </w:p>
    <w:p>
      <w:pPr>
        <w:pStyle w:val="Heading2"/>
        <w:keepNext/>
      </w:pPr>
      <w:r>
        <w:rPr>
          <w:rFonts w:ascii="Times New Roman" w:cs="Times New Roman" w:eastAsia="Times New Roman" w:hAnsi="Times New Roman"/>
        </w:rPr>
        <w:t xml:space="preserve">1 The endosymbiosis analog</w:t>
      </w:r>
    </w:p>
    <w:p>
      <w:pPr>
        <w:keepNext w:val="false"/>
        <w:spacing w:after="160"/>
      </w:pPr>
      <w:r>
        <w:rPr>
          <w:rFonts w:ascii="Times New Roman" w:cs="Times New Roman" w:eastAsia="Times New Roman" w:hAnsi="Times New Roman"/>
        </w:rPr>
        <w:t xml:space="preserve">The Cosmological Entropy Session described a working practice. The Principal identifies a structure, and an AI system helps make it visible and inspectable. The March chapter called the arriving insight the grab: involuntary cross-domain structural synthesis, arriving complete and compressed. It linked the practice to the Principal's reported experience of aphantasia, with structure routed through spatial rather than visual processing, and set it beside the AI's rendering surface: sustained, high-bandwidth, explicit output.</w:t>
      </w:r>
    </w:p>
    <w:p>
      <w:pPr>
        <w:keepNext w:val="false"/>
        <w:spacing w:after="160"/>
      </w:pPr>
      <w:r>
        <w:rPr>
          <w:rFonts w:ascii="Times New Roman" w:cs="Times New Roman" w:eastAsia="Times New Roman" w:hAnsi="Times New Roman"/>
        </w:rPr>
        <w:t xml:space="preserve">That remains a description of a creative practice. It is not a demonstrated neural mechanism or a measurement of semantic information (V4-L38).</w:t>
      </w:r>
    </w:p>
    <w:p>
      <w:pPr>
        <w:keepNext w:val="false"/>
        <w:spacing w:after="160"/>
      </w:pPr>
      <w:r>
        <w:rPr>
          <w:rFonts w:ascii="Times New Roman" w:cs="Times New Roman" w:eastAsia="Times New Roman" w:hAnsi="Times New Roman"/>
        </w:rPr>
        <w:t xml:space="preserve">The March chapter's parallel was mitochondrial endosymbiosis. Mitochondria evolved from bacteria by endosymbiosis, from an endosymbiont of α-proteobacterial ancestry, though the nature of the host cell that partnered with it remains an open question [E1]. In the March telling, two different energy-processing systems merged into a compound organism that outperformed both, and opened a new metabolic regime.</w:t>
      </w:r>
    </w:p>
    <w:p>
      <w:pPr>
        <w:keepNext w:val="false"/>
        <w:spacing w:after="160"/>
      </w:pPr>
      <w:r>
        <w:rPr>
          <w:rFonts w:ascii="Times New Roman" w:cs="Times New Roman" w:eastAsia="Times New Roman" w:hAnsi="Times New Roman"/>
        </w:rPr>
        <w:t xml:space="preserve">Endosymbiosis can remain an analogy for a coupled system whose parts play different roles. It supplies no proof that this particular collaboration is beneficial, that the roles are fixed, or that a human and an AI form an organism. The collaboration has to be evaluated on its own terms.</w:t>
      </w:r>
    </w:p>
    <w:p>
      <w:pPr>
        <w:pStyle w:val="Heading2"/>
        <w:keepNext/>
      </w:pPr>
      <w:r>
        <w:rPr>
          <w:rFonts w:ascii="Times New Roman" w:cs="Times New Roman" w:eastAsia="Times New Roman" w:hAnsi="Times New Roman"/>
        </w:rPr>
        <w:t xml:space="preserve">2 The performance and resource question</w:t>
      </w:r>
    </w:p>
    <w:p>
      <w:pPr>
        <w:keepNext w:val="false"/>
        <w:spacing w:after="160"/>
      </w:pPr>
      <w:r>
        <w:rPr>
          <w:rFonts w:ascii="Times New Roman" w:cs="Times New Roman" w:eastAsia="Times New Roman" w:hAnsi="Times New Roman"/>
        </w:rPr>
        <w:t xml:space="preserve">The March chapter asked the right question: does the compound transducer achieve more than either component alone? Its answer, that structural complementarity already implies a higher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because the human contributes a high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and the AI contributes bandwidth, is withdrawn (V4-L39). The human's contribution is not a measured semantic efficiency, and fluent rendering establishes neither correctness nor semantic efficiency.</w:t>
      </w:r>
    </w:p>
    <w:p>
      <w:pPr>
        <w:keepNext w:val="false"/>
        <w:spacing w:after="160"/>
      </w:pPr>
      <w:r>
        <w:rPr>
          <w:rFonts w:ascii="Times New Roman" w:cs="Times New Roman" w:eastAsia="Times New Roman" w:hAnsi="Times New Roman"/>
        </w:rPr>
        <w:t xml:space="preserve">What survives is testable. Does a particular human–AI arrangement achieve a specified outcome better than the relevant alternatives? A comparison would include the human alone, the AI alone where that condition is meaningful, and the combined workflow on matched tasks. Where no meaningful AI-only condition exists, a study can test augmentation of human performance but cannot show superiority over both components. Quality, error, time and resource use are reported separately, and “better” is defined before testing; a gain on one outcome may come with a loss on another. Training, coordination, verification, tool access and supporting infrastructure belong in the boundary when relevant.</w:t>
      </w:r>
    </w:p>
    <w:p>
      <w:pPr>
        <w:keepNext w:val="false"/>
        <w:spacing w:after="160"/>
      </w:pPr>
      <w:r>
        <w:rPr>
          <w:rFonts w:ascii="Times New Roman" w:cs="Times New Roman" w:eastAsia="Times New Roman" w:hAnsi="Times New Roman"/>
        </w:rPr>
        <w:t xml:space="preserve">A 2024 meta-analysis by Vaccaro, Almaatouq and Malone found that human–AI performance depended on the task and the comparison condition; synergy over the better component was not automatic. It concerns task performance, not this framework's relational efficiency. A local collaboration needs its own evaluation, including its uncertainty and failures.</w:t>
      </w:r>
    </w:p>
    <w:p>
      <w:pPr>
        <w:pStyle w:val="Heading2"/>
        <w:keepNext/>
      </w:pPr>
      <w:r>
        <w:rPr>
          <w:rFonts w:ascii="Times New Roman" w:cs="Times New Roman" w:eastAsia="Times New Roman" w:hAnsi="Times New Roman"/>
        </w:rPr>
        <w:t xml:space="preserve">3 The Progression revisited</w:t>
      </w:r>
    </w:p>
    <w:p>
      <w:pPr>
        <w:keepNext w:val="false"/>
        <w:spacing w:after="160"/>
      </w:pPr>
      <w:r>
        <w:rPr>
          <w:rFonts w:ascii="Times New Roman" w:cs="Times New Roman" w:eastAsia="Times New Roman" w:hAnsi="Times New Roman"/>
        </w:rPr>
        <w:t xml:space="preserve">The March chapter suggested that the Progression may not be a straight line from human to AI but an ecology of transducer types. If a useful form of collaboration is demonstrated, that reframing can be explored as an ecology of working arrangements, rather than a predetermined replacement of humans by AI. Which roles are complementary may vary with the task, the participants and the system.</w:t>
      </w:r>
    </w:p>
    <w:p>
      <w:pPr>
        <w:keepNext w:val="false"/>
        <w:spacing w:after="160"/>
      </w:pPr>
      <w:r>
        <w:rPr>
          <w:rFonts w:ascii="Times New Roman" w:cs="Times New Roman" w:eastAsia="Times New Roman" w:hAnsi="Times New Roman"/>
        </w:rPr>
        <w:t xml:space="preserve">The March chapter's reframing of Phase 3 survives as a question. Phase 3 is not “when does AI replace humans in the relational economy?” but “what happens when biological and digital systems are coupled rather than competing?”</w:t>
      </w:r>
    </w:p>
    <w:p>
      <w:pPr>
        <w:keepNext w:val="false"/>
        <w:spacing w:after="160"/>
      </w:pPr>
      <w:r>
        <w:rPr>
          <w:rFonts w:ascii="Times New Roman" w:cs="Times New Roman" w:eastAsia="Times New Roman" w:hAnsi="Times New Roman"/>
        </w:rPr>
        <w:t xml:space="preserve">Its answer does not survive as stated: that the coupled system reaches regions of the efficiency surface neither processor reaches alone, producing something neither substrate could have produced independently (V4-L40). No efficiency surface is established (Chapter 2), and the analogy can suggest experiments without establishing an inaccessible region.</w:t>
      </w:r>
    </w:p>
    <w:p>
      <w:pPr>
        <w:pStyle w:val="Heading2"/>
        <w:keepNext/>
      </w:pPr>
      <w:r>
        <w:rPr>
          <w:rFonts w:ascii="Times New Roman" w:cs="Times New Roman" w:eastAsia="Times New Roman" w:hAnsi="Times New Roman"/>
        </w:rPr>
        <w:t xml:space="preserve">4 The BSB at the interface</w:t>
      </w:r>
    </w:p>
    <w:p>
      <w:pPr>
        <w:keepNext w:val="false"/>
        <w:spacing w:after="160"/>
      </w:pPr>
      <w:r>
        <w:rPr>
          <w:rFonts w:ascii="Times New Roman" w:cs="Times New Roman" w:eastAsia="Times New Roman" w:hAnsi="Times New Roman"/>
        </w:rPr>
        <w:t xml:space="preserve">The compound system sits at the meeting of two substrates, one with phenomenal experience and one whose phenomenal status is indeterminate. The BSB keeps claims about experience separate from claims about observable operation. A task-performance or energy measurement would not, by itself, establish that an AI has phenomenal experience, or that a coupled workflow has a unified experiential subject.</w:t>
      </w:r>
    </w:p>
    <w:p>
      <w:pPr>
        <w:keepNext w:val="false"/>
        <w:spacing w:after="160"/>
      </w:pPr>
      <w:r>
        <w:rPr>
          <w:rFonts w:ascii="Times New Roman" w:cs="Times New Roman" w:eastAsia="Times New Roman" w:hAnsi="Times New Roman"/>
        </w:rPr>
        <w:t xml:space="preserve">The March chapter concluded that the compound transducer may be thermodynamically superior without being experientially unified (V4-L41). The separation of the two questions stands. The superiority half has no measurement behind it. A collaboration may be useful without resolving the experiential question, and withholding an experiential conclusion does not establish thermodynamic superiority.</w:t>
      </w:r>
    </w:p>
    <w:p>
      <w:pPr>
        <w:pStyle w:val="Heading1"/>
        <w:pageBreakBefore/>
      </w:pPr>
      <w:r>
        <w:rPr>
          <w:rFonts w:ascii="Times New Roman" w:cs="Times New Roman" w:eastAsia="Times New Roman" w:hAnsi="Times New Roman"/>
        </w:rPr>
        <w:t xml:space="preserve">Analogy table: Endosymbiosis</w:t>
      </w:r>
    </w:p>
    <w:p>
      <w:pPr>
        <w:keepNext w:val="false"/>
        <w:spacing w:after="160"/>
      </w:pPr>
      <w:r>
        <w:rPr>
          <w:rFonts w:ascii="Times New Roman" w:cs="Times New Roman" w:eastAsia="Times New Roman" w:hAnsi="Times New Roman"/>
        </w:rPr>
        <w:t xml:space="preserve">The endosymbiosis image, from March Chapter 5's “two different energy-processing systems merging into a compound organism that outperforms both,” is Analogical. Its biological column states what the cited review establishes about the origin of mitochondria; the biology supports none of the human–AI reading's claims about collaboration.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50"/>
        <w:gridCol w:w="2250"/>
        <w:gridCol w:w="2050"/>
        <w:gridCol w:w="1500"/>
        <w:gridCol w:w="2710"/>
      </w:tblGrid>
      <w:tr>
        <w:trPr>
          <w:cantSplit/>
          <w:tblHeader/>
        </w:trPr>
        <w:tc>
          <w:tcPr>
            <w:tcW w:type="dxa" w:w="8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22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Biological or empirical reading (within stated scope)</w:t>
            </w:r>
          </w:p>
        </w:tc>
        <w:tc>
          <w:tcPr>
            <w:tcW w:type="dxa" w:w="205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Human–AI reading</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271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“two partners”</w:t>
            </w:r>
          </w:p>
        </w:tc>
        <w:tc>
          <w:tcPr>
            <w:tcW w:type="dxa" w:w="22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Mitochondria evolved from bacteria by endosymbiosis, from an α-proteobacterial endosymbiont and a host cell whose nature remains an open question [E1].</w:t>
            </w:r>
          </w:p>
        </w:tc>
        <w:tc>
          <w:tcPr>
            <w:tcW w:type="dxa" w:w="20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Principal and an AI system as two processors with different roles: the grab, and the rendering surface.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working practice does involve participants who play different roles (Ch 5 §1).</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This collaboration is not demonstrated to constitute a biological organism, and its role assignments need not be fixed (Ch 5 §1).</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“complementary capacities”</w:t>
            </w:r>
          </w:p>
        </w:tc>
        <w:tc>
          <w:tcPr>
            <w:tcW w:type="dxa" w:w="22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endosymbiont's descendants became the mitochondrion, one of the classical membrane-bound organelles of eukaryotic cells [E1].</w:t>
            </w:r>
          </w:p>
        </w:tc>
        <w:tc>
          <w:tcPr>
            <w:tcW w:type="dxa" w:w="20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human contributes compressed structural insight of high semantic efficiency; the AI contributes bandwidth and rendering.</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Different contributors can bring different strengths to a task.</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human's contribution is not a measured high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and fluent rendering establishes neither correctness nor semantic efficiency (Ch 5 §2).</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“merger”</w:t>
            </w:r>
          </w:p>
        </w:tc>
        <w:tc>
          <w:tcPr>
            <w:tcW w:type="dxa" w:w="22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lasting integration of two lineages into one eukaryotic cell [E1].</w:t>
            </w:r>
          </w:p>
        </w:tc>
        <w:tc>
          <w:tcPr>
            <w:tcW w:type="dxa" w:w="20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compound transducer: a coupled system.</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Workflows can be tightly coupled.</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Coordinating roles does not establish a biological merger of lineages; “compound organism” remains an image (Ch 5 §1).</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“outperforms both”</w:t>
            </w:r>
          </w:p>
        </w:tc>
        <w:tc>
          <w:tcPr>
            <w:tcW w:type="dxa" w:w="22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Vaccaro, Almaatouq and Malone (2024): human–AI performance depends on the task and comparison condition, and synergy over the better component is not automatic.</w:t>
            </w:r>
          </w:p>
        </w:tc>
        <w:tc>
          <w:tcPr>
            <w:tcW w:type="dxa" w:w="20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compound system outperforms each component alone.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some tasks and comparisons, combinations can improve on a component working alone.</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Superiority has to be shown on matched tasks with defined outcomes, and without a meaningful AI-only condition only augmentation can be tested (Ch 5 §2).</w:t>
            </w:r>
          </w:p>
        </w:tc>
      </w:tr>
      <w:tr>
        <w:trPr>
          <w:cantSplit/>
          <w:tblHeader w:val="false"/>
        </w:trPr>
        <w:tc>
          <w:tcPr>
            <w:tcW w:type="dxa" w:w="8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unified whole”</w:t>
            </w:r>
          </w:p>
        </w:tc>
        <w:tc>
          <w:tcPr>
            <w:tcW w:type="dxa" w:w="22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Task-performance and energy measures concern observable operation (BSB).</w:t>
            </w:r>
          </w:p>
        </w:tc>
        <w:tc>
          <w:tcPr>
            <w:tcW w:type="dxa" w:w="205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compound transducer with its own unified experiential character.</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BSB keeps experiential and operational claims separate, so the question can be asked cleanly.</w:t>
            </w:r>
          </w:p>
        </w:tc>
        <w:tc>
          <w:tcPr>
            <w:tcW w:type="dxa" w:w="271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Performance or energy measures do not establish AI experience or a unified subject, and no thermodynamic superiority has been measured (Ch 5 §4).</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a finding about any collaboration or a claim that a human and an AI form an organism. The biological column keeps its own scope; the human–AI reading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An empirical extension must name the claim it tests. The task-performance or synergy proposal can gain support through comparisons that specify the task, outcomes and alternatives in advance, report quality, error, time and resources separately, and allow the proposal to fail. Support for one workflow would not establish a biological merger or a unified subject. This volume supplies or proposes no study of the described workflow; no row is promoted.</w:t>
      </w:r>
    </w:p>
    <w:p>
      <w:pPr>
        <w:pStyle w:val="Heading1"/>
        <w:pageBreakBefore/>
      </w:pPr>
      <w:r>
        <w:rPr>
          <w:rFonts w:ascii="Times New Roman" w:cs="Times New Roman" w:eastAsia="Times New Roman" w:hAnsi="Times New Roman"/>
        </w:rPr>
        <w:t xml:space="preserve">Chapter 6: What the Gradient Means</w:t>
      </w:r>
    </w:p>
    <w:p>
      <w:pPr>
        <w:keepNext/>
        <w:spacing w:after="360" w:before="0"/>
      </w:pPr>
      <w:r>
        <w:rPr>
          <w:rFonts w:ascii="Times New Roman" w:cs="Times New Roman" w:eastAsia="Times New Roman" w:hAnsi="Times New Roman"/>
          <w:i/>
          <w:iCs/>
          <w:color w:val="404040"/>
          <w:sz w:val="28"/>
          <w:szCs w:val="28"/>
        </w:rPr>
        <w:t xml:space="preserve">The Substrate Gradient and the Documents It Connects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synthesis of proposed connections and unresolved requirements. The chapter does not inherit scientific validation merely by citing other volumes in this collection.</w:t>
      </w:r>
    </w:p>
    <w:p>
      <w:pPr>
        <w:pStyle w:val="Heading2"/>
        <w:keepNext/>
      </w:pPr>
      <w:r>
        <w:rPr>
          <w:rFonts w:ascii="Times New Roman" w:cs="Times New Roman" w:eastAsia="Times New Roman" w:hAnsi="Times New Roman"/>
        </w:rPr>
        <w:t xml:space="preserve">1 What this volume did</w:t>
      </w:r>
    </w:p>
    <w:p>
      <w:pPr>
        <w:keepNext w:val="false"/>
        <w:spacing w:after="160"/>
      </w:pPr>
      <w:r>
        <w:rPr>
          <w:rFonts w:ascii="Times New Roman" w:cs="Times New Roman" w:eastAsia="Times New Roman" w:hAnsi="Times New Roman"/>
        </w:rPr>
        <w:t xml:space="preserve">The March chapter put the volumes in a row: Volume 1 established the substrate, one economy; Volume 2 showed what the body pays; Volume 3 asked why relational systems exist; Volume 4 mapped the space between substrates and the efficiency surface that governs every position on it. The corrected row is shorter at its end. The earlier volumes supplied this project's physical questions, bodily concerns and relational vocabulary. Volume 4 examines how implementation and dependence might matter across biological, digital and combined systems, and its revised Chapter 2 withdraws the universal efficiency bound and the numerical substrate ranking.</w:t>
      </w:r>
    </w:p>
    <w:p>
      <w:pPr>
        <w:keepNext w:val="false"/>
        <w:spacing w:after="160"/>
      </w:pPr>
      <w:r>
        <w:rPr>
          <w:rFonts w:ascii="Times New Roman" w:cs="Times New Roman" w:eastAsia="Times New Roman" w:hAnsi="Times New Roman"/>
        </w:rPr>
        <w:t xml:space="preserve">The remaining chapters therefore offer scenarios, proposed connections and comparison designs. They do not map every substrate to a known efficiency or demonstrate the consequences of hypothetical uploads.</w:t>
      </w:r>
    </w:p>
    <w:p>
      <w:pPr>
        <w:pStyle w:val="Heading2"/>
        <w:keepNext/>
      </w:pPr>
      <w:r>
        <w:rPr>
          <w:rFonts w:ascii="Times New Roman" w:cs="Times New Roman" w:eastAsia="Times New Roman" w:hAnsi="Times New Roman"/>
        </w:rPr>
        <w:t xml:space="preserve">2 WP-17 and the substrate gradient</w:t>
      </w:r>
    </w:p>
    <w:p>
      <w:pPr>
        <w:keepNext w:val="false"/>
        <w:spacing w:after="160"/>
      </w:pPr>
      <w:r>
        <w:rPr>
          <w:rFonts w:ascii="Times New Roman" w:cs="Times New Roman" w:eastAsia="Times New Roman" w:hAnsi="Times New Roman"/>
        </w:rPr>
        <w:t xml:space="preserve">WP-17 identified the gradient as a continuum rather than a binary, and that insight stands. The March chapter said this volume gave the continuum its quantitative spine, so that every position now has a calculable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and the instruments can measure by how much a signature changed and in which parameters. That is withdrawn (V4-L42). The claimed quantitative mapping across gradient positions is not established here.</w:t>
      </w:r>
    </w:p>
    <w:p>
      <w:pPr>
        <w:keepNext w:val="false"/>
        <w:spacing w:after="160"/>
      </w:pPr>
      <w:r>
        <w:rPr>
          <w:rFonts w:ascii="Times New Roman" w:cs="Times New Roman" w:eastAsia="Times New Roman" w:hAnsi="Times New Roman"/>
        </w:rPr>
        <w:t xml:space="preserve">The useful extension is to specify several dimensions of change and what a measurement along each would require. CSS signature changes, identity judgments and resource differences must not be treated as interchangeable observations. Their definitions and evidentiary requirements stay separate.</w:t>
      </w:r>
    </w:p>
    <w:p>
      <w:pPr>
        <w:pStyle w:val="Heading2"/>
        <w:keepNext/>
      </w:pPr>
      <w:r>
        <w:rPr>
          <w:rFonts w:ascii="Times New Roman" w:cs="Times New Roman" w:eastAsia="Times New Roman" w:hAnsi="Times New Roman"/>
        </w:rPr>
        <w:t xml:space="preserve">3 The Phase 2 series</w:t>
      </w:r>
    </w:p>
    <w:p>
      <w:pPr>
        <w:keepNext w:val="false"/>
        <w:spacing w:after="160"/>
      </w:pPr>
      <w:r>
        <w:rPr>
          <w:rFonts w:ascii="Times New Roman" w:cs="Times New Roman" w:eastAsia="Times New Roman" w:hAnsi="Times New Roman"/>
        </w:rPr>
        <w:t xml:space="preserve">The March chapter said CP-32 through CP-35 were describing efficiency-surface degradation all along, and that the Calibration Gap gave the diagnostic instruments a formal target (V4-L43). The links are proposed research connections. They do not demonstrate that the developmental concerns are degradation events, or establish a causal thermodynamic mechanism.</w:t>
      </w:r>
    </w:p>
    <w:p>
      <w:pPr>
        <w:keepNext w:val="false"/>
        <w:spacing w:after="160"/>
      </w:pPr>
      <w:r>
        <w:rPr>
          <w:rFonts w:ascii="Times New Roman" w:cs="Times New Roman" w:eastAsia="Times New Roman" w:hAnsi="Times New Roman"/>
        </w:rPr>
        <w:t xml:space="preserve">A possible mismatch between reported experience and an independently defined outcome could be studied. It is not a difference between two measured η</w:t>
      </w:r>
      <w:r>
        <w:rPr>
          <w:rFonts w:ascii="Times New Roman" w:cs="Times New Roman" w:eastAsia="Times New Roman" w:hAnsi="Times New Roman"/>
          <w:vertAlign w:val="subscript"/>
        </w:rPr>
        <w:t xml:space="preserve">T</w:t>
      </w:r>
      <w:r>
        <w:rPr>
          <w:rFonts w:ascii="Times New Roman" w:cs="Times New Roman" w:eastAsia="Times New Roman" w:hAnsi="Times New Roman"/>
        </w:rPr>
        <w:t xml:space="preserve"> values, and it is not a validated diagnostic target.</w:t>
      </w:r>
    </w:p>
    <w:p>
      <w:pPr>
        <w:pStyle w:val="Heading2"/>
        <w:keepNext/>
      </w:pPr>
      <w:r>
        <w:rPr>
          <w:rFonts w:ascii="Times New Roman" w:cs="Times New Roman" w:eastAsia="Times New Roman" w:hAnsi="Times New Roman"/>
        </w:rPr>
        <w:t xml:space="preserve">4 Connections across the volumes</w:t>
      </w:r>
    </w:p>
    <w:p>
      <w:pPr>
        <w:keepNext w:val="false"/>
        <w:spacing w:after="160"/>
      </w:pPr>
      <w:r>
        <w:rPr>
          <w:rFonts w:ascii="Times New Roman" w:cs="Times New Roman" w:eastAsia="Times New Roman" w:hAnsi="Times New Roman"/>
        </w:rPr>
        <w:t xml:space="preserve">The March chapter made the efficiency surface the quantitative spine of the whole five-volume series: Volume 2's grief as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collapse and Template Tax as chronic η</w:t>
      </w:r>
      <w:r>
        <w:rPr>
          <w:rFonts w:ascii="Times New Roman" w:cs="Times New Roman" w:eastAsia="Times New Roman" w:hAnsi="Times New Roman"/>
          <w:vertAlign w:val="subscript"/>
        </w:rPr>
        <w:t xml:space="preserve">KW</w:t>
      </w:r>
      <w:r>
        <w:rPr>
          <w:rFonts w:ascii="Times New Roman" w:cs="Times New Roman" w:eastAsia="Times New Roman" w:hAnsi="Times New Roman"/>
        </w:rPr>
        <w:t xml:space="preserve"> suppression, Volume 3's dissipative structures as thermodynamically favored, Volume 5's cosmological constraints as the frame (V4-L44). None of those links is established.</w:t>
      </w:r>
    </w:p>
    <w:p>
      <w:pPr>
        <w:keepNext w:val="false"/>
        <w:spacing w:after="160"/>
      </w:pPr>
      <w:r>
        <w:rPr>
          <w:rFonts w:ascii="Times New Roman" w:cs="Times New Roman" w:eastAsia="Times New Roman" w:hAnsi="Times New Roman"/>
        </w:rPr>
        <w:t xml:space="preserve">Volume 1 Chapter 6 distinguishes physical erasure from the proposed stages of relational processing. Chapter 2 of this volume separates a comparison framework from an unproved bound. Volume 2's grief and Template Tax vocabulary may motivate questions, but this volume does not establish either as a semantic-efficiency effect. The existence of dissipative structures does not by itself show that relational systems are thermodynamically favored, and cosmological limits do not supply the missing relational definitions or measurements.</w:t>
      </w:r>
    </w:p>
    <w:p>
      <w:pPr>
        <w:keepNext w:val="false"/>
        <w:spacing w:after="160"/>
      </w:pPr>
      <w:r>
        <w:rPr>
          <w:rFonts w:ascii="Times New Roman" w:cs="Times New Roman" w:eastAsia="Times New Roman" w:hAnsi="Times New Roman"/>
        </w:rPr>
        <w:t xml:space="preserve">The revised Volumes 2, 3 and 5 preserve these distinctions. Their inclusion gives continuity within the collection, not independent validation. The separate papers in which the earlier claims originated still need their own review.</w:t>
      </w:r>
    </w:p>
    <w:p>
      <w:pPr>
        <w:pStyle w:val="Heading2"/>
        <w:keepNext/>
      </w:pPr>
      <w:r>
        <w:rPr>
          <w:rFonts w:ascii="Times New Roman" w:cs="Times New Roman" w:eastAsia="Times New Roman" w:hAnsi="Times New Roman"/>
        </w:rPr>
        <w:t xml:space="preserve">5 The compound transducer as a research question</w:t>
      </w:r>
    </w:p>
    <w:p>
      <w:pPr>
        <w:keepNext w:val="false"/>
        <w:spacing w:after="160"/>
      </w:pPr>
      <w:r>
        <w:rPr>
          <w:rFonts w:ascii="Times New Roman" w:cs="Times New Roman" w:eastAsia="Times New Roman" w:hAnsi="Times New Roman"/>
        </w:rPr>
        <w:t xml:space="preserve">The March chapter called the compound transducer the seed of Phase 3: empirically testable, with an open question and a method for answering it (V4-L45). The question stands: does a defined human–AI workflow improve selected outcomes relative to appropriate alternatives? The analogy can motivate it; it does not answer it.</w:t>
      </w:r>
    </w:p>
    <w:p>
      <w:pPr>
        <w:keepNext w:val="false"/>
        <w:spacing w:after="160"/>
      </w:pPr>
      <w:r>
        <w:rPr>
          <w:rFonts w:ascii="Times New Roman" w:cs="Times New Roman" w:eastAsia="Times New Roman" w:hAnsi="Times New Roman"/>
        </w:rPr>
        <w:t xml:space="preserve">Chapter 5 outlines the comparisons and resource boundaries a study would need. An operational protocol, evidence and independent assessment would still be required. No experiment or validation is reported in this volume.</w:t>
      </w:r>
    </w:p>
    <w:p>
      <w:pPr>
        <w:pStyle w:val="Heading2"/>
        <w:keepNext/>
      </w:pPr>
      <w:r>
        <w:rPr>
          <w:rFonts w:ascii="Times New Roman" w:cs="Times New Roman" w:eastAsia="Times New Roman" w:hAnsi="Times New Roman"/>
        </w:rPr>
        <w:t xml:space="preserve">6 What remains useful</w:t>
      </w:r>
    </w:p>
    <w:p>
      <w:pPr>
        <w:keepNext w:val="false"/>
        <w:spacing w:after="160"/>
      </w:pPr>
      <w:r>
        <w:rPr>
          <w:rFonts w:ascii="Times New Roman" w:cs="Times New Roman" w:eastAsia="Times New Roman" w:hAnsi="Times New Roman"/>
        </w:rPr>
        <w:t xml:space="preserve">The March chapter closed by listing what did not change: Axiom 0 still holds, the currency is the same across the gradient, the four economies still classify correctly, the BSB still applies, the SupoRel flags still fire (V4-L46). Some of that survives. The framework keeps its interest in physical accounting, implementation and relational consequences. Its economy labels and BSB distinction can be used as conceptual tools, provided they are not presented as validated classifiers or proofs of experiential status. The common-currency claim does not survive. The SupoRel caution does: performance and resource comparisons cannot determine moral worth.</w:t>
      </w:r>
    </w:p>
    <w:p>
      <w:pPr>
        <w:keepNext w:val="false"/>
        <w:spacing w:after="160"/>
      </w:pPr>
      <w:r>
        <w:rPr>
          <w:rFonts w:ascii="Times New Roman" w:cs="Times New Roman" w:eastAsia="Times New Roman" w:hAnsi="Times New Roman"/>
        </w:rPr>
        <w:t xml:space="preserve">The gradient's contribution is now a clearer set of questions and a record of what must be measured. Its quantitative promises are narrower than the March version claimed, and that narrowing keeps the project testable rather than asking the physics to guarantee more than it does.</w:t>
      </w:r>
    </w:p>
    <w:p>
      <w:pPr>
        <w:keepNext w:val="false"/>
        <w:spacing w:after="160"/>
      </w:pPr>
      <w:r>
        <w:rPr>
          <w:rFonts w:ascii="Times New Roman" w:cs="Times New Roman" w:eastAsia="Times New Roman" w:hAnsi="Times New Roman"/>
        </w:rPr>
        <w:t xml:space="preserve">The March volume ended with a calculator in hand: it showed what the physics looks like when you walk the continuum between biological and digital transducers with a calculator in your hand. This edition walks the same continuum with a notebook instead. The questions are clearer, and the numbers wait for measurement.</w:t>
      </w:r>
    </w:p>
    <w:p>
      <w:pPr>
        <w:pStyle w:val="Heading2"/>
        <w:keepNext/>
      </w:pPr>
      <w:r>
        <w:rPr>
          <w:rFonts w:ascii="Times New Roman" w:cs="Times New Roman" w:eastAsia="Times New Roman" w:hAnsi="Times New Roman"/>
        </w:rPr>
        <w:t xml:space="preserve">Framework cross references</w:t>
      </w:r>
    </w:p>
    <w:p>
      <w:pPr>
        <w:pStyle w:val="ListParagraph"/>
        <w:numPr>
          <w:ilvl w:val="0"/>
          <w:numId w:val="2"/>
        </w:numPr>
        <w:spacing w:after="100"/>
      </w:pPr>
      <w:r>
        <w:rPr>
          <w:rFonts w:ascii="Times New Roman" w:cs="Times New Roman" w:eastAsia="Times New Roman" w:hAnsi="Times New Roman"/>
          <w:b/>
          <w:bCs/>
        </w:rPr>
        <w:t xml:space="preserve">WP-17: The Substrate Gradient.</w:t>
      </w:r>
      <w:r>
        <w:rPr>
          <w:rFonts w:ascii="Times New Roman" w:cs="Times New Roman" w:eastAsia="Times New Roman" w:hAnsi="Times New Roman"/>
        </w:rPr>
        <w:t xml:space="preserve"> Conceptual scenarios requiring operational definitions.</w:t>
      </w:r>
    </w:p>
    <w:p>
      <w:pPr>
        <w:pStyle w:val="ListParagraph"/>
        <w:numPr>
          <w:ilvl w:val="0"/>
          <w:numId w:val="2"/>
        </w:numPr>
        <w:spacing w:after="100"/>
      </w:pPr>
      <w:r>
        <w:rPr>
          <w:rFonts w:ascii="Times New Roman" w:cs="Times New Roman" w:eastAsia="Times New Roman" w:hAnsi="Times New Roman"/>
          <w:b/>
          <w:bCs/>
        </w:rPr>
        <w:t xml:space="preserve">DFQ-002 Resolution and Supplement.</w:t>
      </w:r>
      <w:r>
        <w:rPr>
          <w:rFonts w:ascii="Times New Roman" w:cs="Times New Roman" w:eastAsia="Times New Roman" w:hAnsi="Times New Roman"/>
        </w:rPr>
        <w:t xml:space="preserve"> Historical source of the withdrawn quantitative surface; Chapter 2 states the limits that must accompany any reuse.</w:t>
      </w:r>
    </w:p>
    <w:p>
      <w:pPr>
        <w:pStyle w:val="ListParagraph"/>
        <w:numPr>
          <w:ilvl w:val="0"/>
          <w:numId w:val="2"/>
        </w:numPr>
        <w:spacing w:after="100"/>
      </w:pPr>
      <w:r>
        <w:rPr>
          <w:rFonts w:ascii="Times New Roman" w:cs="Times New Roman" w:eastAsia="Times New Roman" w:hAnsi="Times New Roman"/>
          <w:b/>
          <w:bCs/>
        </w:rPr>
        <w:t xml:space="preserve">CP-32 through CP-35.</w:t>
      </w:r>
      <w:r>
        <w:rPr>
          <w:rFonts w:ascii="Times New Roman" w:cs="Times New Roman" w:eastAsia="Times New Roman" w:hAnsi="Times New Roman"/>
        </w:rPr>
        <w:t xml:space="preserve"> Phase 2 hypotheses, not validated thermodynamic mechanisms.</w:t>
      </w:r>
    </w:p>
    <w:p>
      <w:pPr>
        <w:pStyle w:val="ListParagraph"/>
        <w:numPr>
          <w:ilvl w:val="0"/>
          <w:numId w:val="2"/>
        </w:numPr>
        <w:spacing w:after="100"/>
      </w:pPr>
      <w:r>
        <w:rPr>
          <w:rFonts w:ascii="Times New Roman" w:cs="Times New Roman" w:eastAsia="Times New Roman" w:hAnsi="Times New Roman"/>
          <w:b/>
          <w:bCs/>
        </w:rPr>
        <w:t xml:space="preserve">Phase 2 Efficiency Integration Note.</w:t>
      </w:r>
      <w:r>
        <w:rPr>
          <w:rFonts w:ascii="Times New Roman" w:cs="Times New Roman" w:eastAsia="Times New Roman" w:hAnsi="Times New Roman"/>
        </w:rPr>
        <w:t xml:space="preserve"> Proposed mapping; the claim of physical identity is not adopted here.</w:t>
      </w:r>
    </w:p>
    <w:p>
      <w:pPr>
        <w:pStyle w:val="ListParagraph"/>
        <w:numPr>
          <w:ilvl w:val="0"/>
          <w:numId w:val="2"/>
        </w:numPr>
        <w:spacing w:after="100"/>
      </w:pPr>
      <w:r>
        <w:rPr>
          <w:rFonts w:ascii="Times New Roman" w:cs="Times New Roman" w:eastAsia="Times New Roman" w:hAnsi="Times New Roman"/>
          <w:b/>
          <w:bCs/>
        </w:rPr>
        <w:t xml:space="preserve">Biological Efficiency Note.</w:t>
      </w:r>
      <w:r>
        <w:rPr>
          <w:rFonts w:ascii="Times New Roman" w:cs="Times New Roman" w:eastAsia="Times New Roman" w:hAnsi="Times New Roman"/>
        </w:rPr>
        <w:t xml:space="preserve"> Historical substrate comparison; the universal thousandfold ranking is not adopted here.</w:t>
      </w:r>
    </w:p>
    <w:p>
      <w:pPr>
        <w:pStyle w:val="ListParagraph"/>
        <w:numPr>
          <w:ilvl w:val="0"/>
          <w:numId w:val="2"/>
        </w:numPr>
        <w:spacing w:after="100"/>
      </w:pPr>
      <w:r>
        <w:rPr>
          <w:rFonts w:ascii="Times New Roman" w:cs="Times New Roman" w:eastAsia="Times New Roman" w:hAnsi="Times New Roman"/>
          <w:b/>
          <w:bCs/>
        </w:rPr>
        <w:t xml:space="preserve">Cosmological Entropy Session, Finding B4.</w:t>
      </w:r>
      <w:r>
        <w:rPr>
          <w:rFonts w:ascii="Times New Roman" w:cs="Times New Roman" w:eastAsia="Times New Roman" w:hAnsi="Times New Roman"/>
        </w:rPr>
        <w:t xml:space="preserve"> Source of the compound-transducer analogy.</w:t>
      </w:r>
    </w:p>
    <w:p>
      <w:pPr>
        <w:pStyle w:val="ListParagraph"/>
        <w:numPr>
          <w:ilvl w:val="0"/>
          <w:numId w:val="2"/>
        </w:numPr>
        <w:spacing w:after="100"/>
      </w:pPr>
      <w:r>
        <w:rPr>
          <w:rFonts w:ascii="Times New Roman" w:cs="Times New Roman" w:eastAsia="Times New Roman" w:hAnsi="Times New Roman"/>
          <w:b/>
          <w:bCs/>
        </w:rPr>
        <w:t xml:space="preserve">Volume 1 Chapter 6.</w:t>
      </w:r>
      <w:r>
        <w:rPr>
          <w:rFonts w:ascii="Times New Roman" w:cs="Times New Roman" w:eastAsia="Times New Roman" w:hAnsi="Times New Roman"/>
        </w:rPr>
        <w:t xml:space="preserve"> Corrected erasure accounting and the limits of the transducer model.</w:t>
      </w:r>
    </w:p>
    <w:p>
      <w:pPr>
        <w:pStyle w:val="ListParagraph"/>
        <w:numPr>
          <w:ilvl w:val="0"/>
          <w:numId w:val="2"/>
        </w:numPr>
        <w:spacing w:after="100"/>
      </w:pPr>
      <w:r>
        <w:rPr>
          <w:rFonts w:ascii="Times New Roman" w:cs="Times New Roman" w:eastAsia="Times New Roman" w:hAnsi="Times New Roman"/>
          <w:b/>
          <w:bCs/>
        </w:rPr>
        <w:t xml:space="preserve">Volume 4 Chapter 2.</w:t>
      </w:r>
      <w:r>
        <w:rPr>
          <w:rFonts w:ascii="Times New Roman" w:cs="Times New Roman" w:eastAsia="Times New Roman" w:hAnsi="Times New Roman"/>
        </w:rPr>
        <w:t xml:space="preserve"> Definitions and comparison requirements, not an externally validated bound.</w:t>
      </w:r>
    </w:p>
    <w:p>
      <w:pPr>
        <w:pStyle w:val="ListParagraph"/>
        <w:numPr>
          <w:ilvl w:val="0"/>
          <w:numId w:val="2"/>
        </w:numPr>
        <w:spacing w:after="100"/>
      </w:pPr>
      <w:r>
        <w:rPr>
          <w:rFonts w:ascii="Times New Roman" w:cs="Times New Roman" w:eastAsia="Times New Roman" w:hAnsi="Times New Roman"/>
          <w:b/>
          <w:bCs/>
        </w:rPr>
        <w:t xml:space="preserve">Volume 2 Chapter 4.</w:t>
      </w:r>
      <w:r>
        <w:rPr>
          <w:rFonts w:ascii="Times New Roman" w:cs="Times New Roman" w:eastAsia="Times New Roman" w:hAnsi="Times New Roman"/>
        </w:rPr>
        <w:t xml:space="preserve"> Template Tax vocabulary; its clinical and thermodynamic claims are outside this chapter's validation.</w:t>
      </w:r>
    </w:p>
    <w:p>
      <w:pPr>
        <w:pStyle w:val="Heading2"/>
        <w:keepNext/>
      </w:pPr>
      <w:r>
        <w:rPr>
          <w:rFonts w:ascii="Times New Roman" w:cs="Times New Roman" w:eastAsia="Times New Roman" w:hAnsi="Times New Roman"/>
        </w:rPr>
        <w:t xml:space="preserve">Closing boundaries</w:t>
      </w:r>
    </w:p>
    <w:p>
      <w:pPr>
        <w:keepNext w:val="false"/>
        <w:spacing w:after="160"/>
      </w:pPr>
      <w:r>
        <w:rPr>
          <w:rFonts w:ascii="Times New Roman" w:cs="Times New Roman" w:eastAsia="Times New Roman" w:hAnsi="Times New Roman"/>
        </w:rPr>
        <w:t xml:space="preserve">SupoRel: neither a proposed efficiency measure nor a substrate classification establishes moral worth. This volume does not provide a validated relational diagnosis or prescribe treatment, and its conceptual comparisons remain subject to evidence and ethical limits.</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w:t>
      </w:r>
    </w:p>
    <w:p>
      <w:pPr>
        <w:keepNext w:val="false"/>
        <w:spacing w:after="160"/>
      </w:pPr>
      <w:r>
        <w:rPr>
          <w:rFonts w:ascii="Times New Roman" w:cs="Times New Roman" w:eastAsia="Times New Roman" w:hAnsi="Times New Roman"/>
        </w:rPr>
        <w:t xml:space="preserve">The closing line remains an epigraph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 measured physical balance. The relational idea and its thermodynamic interpretation must be assessed separately.</w:t>
      </w:r>
    </w:p>
    <w:p>
      <w:pPr>
        <w:pStyle w:val="Heading1"/>
        <w:pageBreakBefore/>
      </w:pPr>
      <w:r>
        <w:rPr>
          <w:rFonts w:ascii="Times New Roman" w:cs="Times New Roman" w:eastAsia="Times New Roman" w:hAnsi="Times New Roman"/>
        </w:rPr>
        <w:t xml:space="preserve">Volume 4 correction ledger</w:t>
      </w:r>
    </w:p>
    <w:p>
      <w:pPr>
        <w:keepNext w:val="false"/>
        <w:spacing w:after="160"/>
      </w:pPr>
      <w:r>
        <w:rPr>
          <w:rFonts w:ascii="Times New Roman" w:cs="Times New Roman" w:eastAsia="Times New Roman" w:hAnsi="Times New Roman"/>
        </w:rPr>
        <w:t xml:space="preserve">The ledger traces 46 selected March claims in Volume 4. By this edition's classification of the second edition's treatment, 22 were withdrawn, 22 narrowed and 2 kept. It is not an exhaustive inventory, and it makes no new scientific decisions.</w:t>
      </w:r>
    </w:p>
    <w:p>
      <w:pPr>
        <w:keepNext w:val="false"/>
        <w:spacing w:after="160"/>
      </w:pPr>
      <w:r>
        <w:rPr>
          <w:rFonts w:ascii="Times New Roman" w:cs="Times New Roman" w:eastAsia="Times New Roman" w:hAnsi="Times New Roman"/>
        </w:rPr>
        <w:t xml:space="preserve">March locations refer to the preserved Volume 4 page on suposystem.ai. Second-edition (2E) locations use the October 2026 Volume 4 headings, its numbered Chapter 2 references [1]–[10] and its named studies.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2620"/>
        <w:gridCol w:w="1700"/>
        <w:gridCol w:w="1500"/>
        <w:gridCol w:w="2660"/>
      </w:tblGrid>
      <w:tr>
        <w:trPr>
          <w:cantSplit/>
          <w:tblHeader/>
        </w:trPr>
        <w:tc>
          <w:tcPr>
            <w:tcW w:type="dxa" w:w="88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ID</w:t>
            </w:r>
          </w:p>
        </w:tc>
        <w:tc>
          <w:tcPr>
            <w:tcW w:type="dxa" w:w="262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March claim (Volume 4 location)</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disposition</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location</w:t>
            </w:r>
          </w:p>
        </w:tc>
        <w:tc>
          <w:tcPr>
            <w:tcW w:type="dxa" w:w="26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Front: WP-17 epigraph, “The substance is not what the framework measures. The bill is.”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substrate alone does not predict the bill; the task and the accounting boundary matter too.</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status: CSS signature variance by substrate (Supported); the gradient is a structural consequence of the transducer model.</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status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CSS signatures and relational efficiency across scenarios have not been validated as measurements.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the biological-or-digital binary was always wrong; the space between needs attention.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cases between the categories pose distinct questions.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Volume 1 established one economy, one currency, one ledger, and proved the currency substrate-neutral.</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V1-L03 and V1-L10; thermodynamics across materials does not prove a common relational currency.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§1–2: the instruments track entities along the gradient and read a different signature because parameters changed substrate.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Comparisons need stated functions, relationships and resources; an implementation change does not establish a CSS change.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WP-17's gradient, from motor replacement to full upload, as one sequence.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3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cases vary along several dimensions, and some are thought experiments.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2 §6: the efficiency surface η</w:t>
            </w:r>
            <w:r>
              <w:rPr>
                <w:rFonts w:ascii="Times New Roman" w:cs="Times New Roman" w:eastAsia="Times New Roman" w:hAnsi="Times New Roman"/>
                <w:sz w:val="16"/>
                <w:szCs w:val="16"/>
                <w:vertAlign w:val="subscript"/>
              </w:rPr>
              <w:t xml:space="preserve">T,max</w:t>
            </w:r>
            <w:r>
              <w:rPr>
                <w:rFonts w:ascii="Times New Roman" w:cs="Times New Roman" w:eastAsia="Times New Roman" w:hAnsi="Times New Roman"/>
                <w:sz w:val="16"/>
                <w:szCs w:val="16"/>
              </w:rPr>
              <w:t xml:space="preserve">(G) = κ</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 A as the quantitative spine.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2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derived as a universal bound; its factors are not measured constants.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2 §5, §10: the thousandfold biological advantage over silicon is a formal result.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§4; Ch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Built on withdrawn amplification factors and unmeasured quantities; no matched comparison supports 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V4-L09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the transducer always spends more than it saves; the second law guarantees waste.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Closing epigraph</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V1-L34 and V2-L01; the founding line is an epigraph, not a measured physical balance.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 no single Carnot number because the bound is a three-dimensional surface, structurally analogous to Govern and ten Wolde.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§6 [9]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Govern and ten Wolde derived noncompensable classes for their own sensing-network model; the structure does not transfer.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 ΔV</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 σ</w:t>
            </w:r>
            <w:r>
              <w:rPr>
                <w:rFonts w:ascii="Times New Roman" w:cs="Times New Roman" w:eastAsia="Times New Roman" w:hAnsi="Times New Roman"/>
                <w:sz w:val="16"/>
                <w:szCs w:val="16"/>
                <w:vertAlign w:val="subscript"/>
              </w:rPr>
              <w:t xml:space="preserve">total</w:t>
            </w:r>
            <w:r>
              <w:rPr>
                <w:rFonts w:ascii="Times New Roman" w:cs="Times New Roman" w:eastAsia="Times New Roman" w:hAnsi="Times New Roman"/>
                <w:sz w:val="16"/>
                <w:szCs w:val="16"/>
              </w:rPr>
              <w:t xml:space="preserve"> as the transducer's efficiency.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an efficiency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Score-per-joule or score-kelvin-per-joule units; not dimensionless or bounded by one.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a Landauer floor for each transducer stage; the floor is geometry-specific, so people differ in irreducible cost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[1–3]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Landauer concerns a specified erasure; its heat is an energy, not an entropy floor; the stages are not identified erasures.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 S̃ / I</w:t>
            </w:r>
            <w:r>
              <w:rPr>
                <w:rFonts w:ascii="Times New Roman" w:cs="Times New Roman" w:eastAsia="Times New Roman" w:hAnsi="Times New Roman"/>
                <w:sz w:val="16"/>
                <w:szCs w:val="16"/>
                <w:vertAlign w:val="subscript"/>
              </w:rPr>
              <w:t xml:space="preserve">total</w:t>
            </w:r>
            <w:r>
              <w:rPr>
                <w:rFonts w:ascii="Times New Roman" w:cs="Times New Roman" w:eastAsia="Times New Roman" w:hAnsi="Times New Roman"/>
                <w:sz w:val="16"/>
                <w:szCs w:val="16"/>
              </w:rPr>
              <w:t xml:space="preserve">, with rumination, hypervigilance and script rehearsal as relational noise.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semantic fraction is a model choice; those experiences are not measured efficiency losses, and information can harm viability.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estimated at 0.3–0.8, bounded by mortality data and the 35:1 cortical ratio.</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§4–5 [6–8]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Unmeasured; a large consequence does not show what fraction of information was necessary.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amplification factors A ≈ 30 (cellular), 10</w:t>
            </w:r>
            <w:r>
              <w:rPr>
                <w:rFonts w:ascii="Times New Roman" w:cs="Times New Roman" w:eastAsia="Times New Roman" w:hAnsi="Times New Roman"/>
                <w:sz w:val="16"/>
                <w:szCs w:val="16"/>
                <w:vertAlign w:val="superscript"/>
              </w:rPr>
              <w:t xml:space="preserve">6</w:t>
            </w:r>
            <w:r>
              <w:rPr>
                <w:rFonts w:ascii="Times New Roman" w:cs="Times New Roman" w:eastAsia="Times New Roman" w:hAnsi="Times New Roman"/>
                <w:sz w:val="16"/>
                <w:szCs w:val="16"/>
              </w:rPr>
              <w:t xml:space="preserve"> (synaptic),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 (silicon) as measured, Established values.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§5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Harris's 24,000 ATP per bit is a calculation under stated assumptions; reference-energy multiples are not distances from achievable minima.</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four billion years of metabolic pressure produced an efficiency no engineered system approaches.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V2-L06; evolutionary history does not guarantee optimality, and no matched comparison supports the ranking.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§7: a relational transducer can only be assessed against its own geometry-specific bound, and this is a finding.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legitimate bound needs a defined task, dynamics, resources and performance measure; none is established.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§8: non-compensability as the surface's most consequential finding; most transducers operate below a narrow ridge.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Algebraic counterexample: κ = 100, A = 10 and κ = 200, A = 20 give the same product.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V4-L19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§9: κ</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 10</w:t>
            </w:r>
            <w:r>
              <w:rPr>
                <w:rFonts w:ascii="Times New Roman" w:cs="Times New Roman" w:eastAsia="Times New Roman" w:hAnsi="Times New Roman"/>
                <w:sz w:val="16"/>
                <w:szCs w:val="16"/>
                <w:vertAlign w:val="superscript"/>
              </w:rPr>
              <w:t xml:space="preserve">9</w:t>
            </w:r>
            <w:r>
              <w:rPr>
                <w:rFonts w:ascii="Times New Roman" w:cs="Times New Roman" w:eastAsia="Times New Roman" w:hAnsi="Times New Roman"/>
                <w:sz w:val="16"/>
                <w:szCs w:val="16"/>
              </w:rPr>
              <w:t xml:space="preserve">–10</w:t>
            </w:r>
            <w:r>
              <w:rPr>
                <w:rFonts w:ascii="Times New Roman" w:cs="Times New Roman" w:eastAsia="Times New Roman" w:hAnsi="Times New Roman"/>
                <w:sz w:val="16"/>
                <w:szCs w:val="16"/>
                <w:vertAlign w:val="superscript"/>
              </w:rPr>
              <w:t xml:space="preserve">10</w:t>
            </w:r>
            <w:r>
              <w:rPr>
                <w:rFonts w:ascii="Times New Roman" w:cs="Times New Roman" w:eastAsia="Times New Roman" w:hAnsi="Times New Roman"/>
                <w:sz w:val="16"/>
                <w:szCs w:val="16"/>
              </w:rPr>
              <w:t xml:space="preserve">, from social-isolation mortality, lost lifespan and an annual Landauer budget.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[7,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Mortality associations are not calibrations; lifespan times metabolic rate is a hypothetical budget, not a relationship's value.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§9: the brain spends 19.4 W of its 20 W, about 6 × 10</w:t>
            </w:r>
            <w:r>
              <w:rPr>
                <w:rFonts w:ascii="Times New Roman" w:cs="Times New Roman" w:eastAsia="Times New Roman" w:hAnsi="Times New Roman"/>
                <w:sz w:val="16"/>
                <w:szCs w:val="16"/>
                <w:vertAlign w:val="superscript"/>
              </w:rPr>
              <w:t xml:space="preserve">8</w:t>
            </w:r>
            <w:r>
              <w:rPr>
                <w:rFonts w:ascii="Times New Roman" w:cs="Times New Roman" w:eastAsia="Times New Roman" w:hAnsi="Times New Roman"/>
                <w:sz w:val="16"/>
                <w:szCs w:val="16"/>
              </w:rPr>
              <w:t xml:space="preserve"> J a year, on relational communication.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Levy and Calvert model a partition of cortical energy for neural signaling, not interpersonal communication.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§10: biological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 500 and silicon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 0.5; above one, viability gain exceeds entropy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Inputs unmeasured and units incompatible; correcting the arithmetic would not validate them.</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§11: a four-part waste budget; therapy as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recalibration, grief as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collapse, unreciprocated transmission as zero coupling efficiency.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categories kept as questions; diagnoses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Not four measured entropy flows; replaced by a comparison record.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§12: open items: a relational scrambling protocol for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a measured κ</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and the uncertainty relation as a fourth constraint.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§8 [10]</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Bounded task comparisons and toy models first; no deprivation; the uncertainty relation supplies no automatic constraint.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motor replacement leaves every parameter unchanged; over a million cochlear implant users show relational continuity.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(van Heteren 2025)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cochlear implant is auditory support; the trial measured specified outcomes; the user count and its conclusion are not retained.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in-brain memory replacement preserves continuity if decay and loss-vulnerability are preserved; otherwise the instruments detect a change.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(Hampson 2018)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Memory support is not replacement; preserving dynamics would be an assumption, not proof of continuity.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cloud memory is the break point; memories stop being losable; A shifts toward silicon; the Calibration Gap applies.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Cloud storage is not loss-proof; the boundary changes; no known silicon efficiency follows.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upload to a robot transfers relational mass and drops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from about 500 to about 0.5.</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transfer is assumed, not demonstrated, and neither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value was established.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upload to a cloud system is Structural Economy by definition; a copyable entity may fail the fifth REI criterion.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Copyability, identity and experience are different questions; REI is not an established test; infrastructure costs do not vanish.</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V4-L29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 the brain-only inversion confirms the framework measures parameters, not substance.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It exposes a limit of classification by substance; it does not confirm that the parameters are retained.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status, §1: the Phase 2 convergence follows from the definitions; a term-for-term identity, not an analogy.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Shared terms do not establish a shared mechanism; no validated mapping exists.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CP-32 as selection miscalibration, with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falling.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to a question about expectations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change in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is established; availability and scarcity must be defined in the setting.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CP-33 as structuring miscalibration, a fourth kind of waste.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labels may describe interpretations; they are not measured waste terms or evidence of defective processing.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CP-34's Calibration Gap,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(experienced) −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(actual); the scrambling test works.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the mismatch hypothesis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Reported satisfaction is not thermodynamic efficiency; no scrambling protocol for this setting is validated.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CP-35 as population-scale degradation, beyond the reach of standard pedagogy.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cohort claim needs evidence; the title is not a diagnosis of a generation.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§2–3: five problems on the surface; the biological transducer has a higher-value starting position to lose.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count is not an empirical result, and the asymmetry rested on the withdrawn ranking.</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 the moral-hierarchy reading is wrong; calibration is not capacity.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without the efficiency framing</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proposed efficiency framework must not become a hierarchy of people.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 corrective relational exposure moves a person along the surface at a metabolic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validated clinical test, treatment prescription or metabolic measure supports 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§1: the endosymbiosis analog: complementary filter geometries merge into a compound organism that outperforms both.</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the analogy kept for coupled roles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grab and aphantasia describe a creative practice; no synergy or organism is demonstrated.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V4-L39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the compound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exceeds either component's, because the human contributes a high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the testable comparison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(Vaccaro 2024)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human's contribution is not a measured efficiency; synergy depends on the task and comparison.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the coupled system reaches efficiency-surface regions neither processor reaches alone.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efficiency surface is established; an ecology of working arrangements can be explored if collaboration is demonstrated.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the compound transducer may be thermodynamically superior without being experientially unified.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separation of the two questions stands; no superiority is measured.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 each gradient position now has a calculable η</w:t>
            </w:r>
            <w:r>
              <w:rPr>
                <w:rFonts w:ascii="Times New Roman" w:cs="Times New Roman" w:eastAsia="Times New Roman" w:hAnsi="Times New Roman"/>
                <w:sz w:val="16"/>
                <w:szCs w:val="16"/>
                <w:vertAlign w:val="subscript"/>
              </w:rPr>
              <w:t xml:space="preserve">T</w:t>
            </w:r>
            <w:r>
              <w:rPr>
                <w:rFonts w:ascii="Times New Roman" w:cs="Times New Roman" w:eastAsia="Times New Roman" w:hAnsi="Times New Roman"/>
                <w:sz w:val="16"/>
                <w:szCs w:val="16"/>
              </w:rPr>
              <w:t xml:space="preserve">, and the instruments measure by how much and in which parameters.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claimed quantitative mapping across gradient positions is not established here.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 CP-32 to CP-35 described efficiency-surface degradation all along; the Calibration Gap is a formal diagnostic target.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links are proposed research connections, not a causal mechanism or validated target.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 the efficiency surface as the spine of all five volumes; grief and Template Tax as η</w:t>
            </w:r>
            <w:r>
              <w:rPr>
                <w:rFonts w:ascii="Times New Roman" w:cs="Times New Roman" w:eastAsia="Times New Roman" w:hAnsi="Times New Roman"/>
                <w:sz w:val="16"/>
                <w:szCs w:val="16"/>
                <w:vertAlign w:val="subscript"/>
              </w:rPr>
              <w:t xml:space="preserve">KW</w:t>
            </w:r>
            <w:r>
              <w:rPr>
                <w:rFonts w:ascii="Times New Roman" w:cs="Times New Roman" w:eastAsia="Times New Roman" w:hAnsi="Times New Roman"/>
                <w:sz w:val="16"/>
                <w:szCs w:val="16"/>
              </w:rPr>
              <w:t xml:space="preserve"> effects; dissipative structures favored.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None of the cross-volume links is established; the volumes give continuity, not validation.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 the compound transducer is the Phase 3 seed, empirically testable, with a method in hand.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research question with outlined comparisons; a protocol, evidence and independent assessment are still needed.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V4-L46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§6: what did not change: Axiom 0 and a common currency across the gradient, the economies classify correctly, the BSB applies, SupoRel fires.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Economy labels and the BSB stay as conceptual tools, not validated classifiers; the common-currency claim is withdrawn.</w:t>
            </w:r>
          </w:p>
        </w:tc>
      </w:tr>
    </w:tbl>
    <w:p>
      <w:pPr>
        <w:spacing w:after="120" w:before="0"/>
      </w:pPr>
    </w:p>
    <w:p>
      <w:pPr>
        <w:pStyle w:val="Heading1"/>
        <w:pageBreakBefore/>
      </w:pPr>
      <w:r>
        <w:rPr>
          <w:rFonts w:ascii="Times New Roman" w:cs="Times New Roman" w:eastAsia="Times New Roman" w:hAnsi="Times New Roman"/>
        </w:rPr>
        <w:t xml:space="preserve">References</w:t>
      </w:r>
    </w:p>
    <w:p>
      <w:pPr>
        <w:keepNext w:val="false"/>
        <w:spacing w:after="160"/>
      </w:pPr>
      <w:r>
        <w:rPr>
          <w:rFonts w:ascii="Times New Roman" w:cs="Times New Roman" w:eastAsia="Times New Roman" w:hAnsi="Times New Roman"/>
          <w:i/>
          <w:iCs/>
        </w:rPr>
        <w:t xml:space="preserve">Inherited verbatim from the second edition’s Volume 4 references, with the Boltzmann constant’s subscript and exponent restored. The bracketed numbers [1]–[10] serve Chapter 2; the named studies serve Chapters 3 and 5.</w:t>
      </w:r>
    </w:p>
    <w:p>
      <w:pPr>
        <w:pStyle w:val="Heading3"/>
        <w:keepNext/>
      </w:pPr>
      <w:r>
        <w:rPr>
          <w:rFonts w:ascii="Times New Roman" w:cs="Times New Roman" w:eastAsia="Times New Roman" w:hAnsi="Times New Roman"/>
        </w:rPr>
        <w:t xml:space="preserve">Chapter 2 reference list</w:t>
      </w:r>
    </w:p>
    <w:p>
      <w:pPr>
        <w:keepNext w:val="false"/>
        <w:spacing w:after="160"/>
      </w:pPr>
      <w:r>
        <w:rPr>
          <w:rFonts w:ascii="Times New Roman" w:cs="Times New Roman" w:eastAsia="Times New Roman" w:hAnsi="Times New Roman"/>
        </w:rPr>
        <w:t xml:space="preserve">The bracketed reference numbers used in Chapter 2 are local to Volume 4 and refer to the following ten sources.</w:t>
      </w:r>
    </w:p>
    <w:p>
      <w:pPr>
        <w:keepNext w:val="false"/>
        <w:spacing w:after="160"/>
      </w:pPr>
      <w:r>
        <w:rPr>
          <w:rFonts w:ascii="Times New Roman" w:cs="Times New Roman" w:eastAsia="Times New Roman" w:hAnsi="Times New Roman"/>
        </w:rPr>
        <w:t xml:space="preserve">[1] Bérut, A., et al. 2012. Experimental verification of Landauer’s principle linking information and thermodynamics. Nature 483, 187–189. </w:t>
      </w:r>
      <w:hyperlink w:history="1" r:id="rIdccahbsqqrsbhqxedrkrck">
        <w:r>
          <w:rPr>
            <w:rStyle w:val="Hyperlink"/>
            <w:rFonts w:ascii="Times New Roman" w:cs="Times New Roman" w:eastAsia="Times New Roman" w:hAnsi="Times New Roman"/>
          </w:rPr>
          <w:t xml:space="preserve">https://doi.org/10.1038/nature10872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[2] Bennett, C. H. 1973. Logical Reversibility of Computation. IBM Journal of Research and Development 17, 525–532. </w:t>
      </w:r>
      <w:hyperlink w:history="1" r:id="rIdwoblwultqaerf3fbbz8ix">
        <w:r>
          <w:rPr>
            <w:rStyle w:val="Hyperlink"/>
            <w:rFonts w:ascii="Times New Roman" w:cs="Times New Roman" w:eastAsia="Times New Roman" w:hAnsi="Times New Roman"/>
          </w:rPr>
          <w:t xml:space="preserve">https://doi.org/10.1147/rd.176.0525</w:t>
        </w:r>
      </w:hyperlink>
      <w:r>
        <w:rPr>
          <w:rFonts w:ascii="Times New Roman" w:cs="Times New Roman" w:eastAsia="Times New Roman" w:hAnsi="Times New Roman"/>
        </w:rPr>
        <w:t xml:space="preserve">. University-hosted text: </w:t>
      </w:r>
      <w:hyperlink w:history="1" r:id="rIdglokwopimirmp-8sbj50-">
        <w:r>
          <w:rPr>
            <w:rStyle w:val="Hyperlink"/>
            <w:rFonts w:ascii="Times New Roman" w:cs="Times New Roman" w:eastAsia="Times New Roman" w:hAnsi="Times New Roman"/>
          </w:rPr>
          <w:t xml:space="preserve">https://www.cs.princeton.edu/courses/archive/fall06/cos576/papers/bennett73.html</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[3] National Institute of Standards and Technology. Kelvin Boltzmann Constant. Exact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1.380649 × 10</w:t>
      </w:r>
      <w:r>
        <w:rPr>
          <w:rFonts w:ascii="Times New Roman" w:cs="Times New Roman" w:eastAsia="Times New Roman" w:hAnsi="Times New Roman"/>
          <w:vertAlign w:val="superscript"/>
        </w:rPr>
        <w:t xml:space="preserve">−23</w:t>
      </w:r>
      <w:r>
        <w:rPr>
          <w:rFonts w:ascii="Times New Roman" w:cs="Times New Roman" w:eastAsia="Times New Roman" w:hAnsi="Times New Roman"/>
        </w:rPr>
        <w:t xml:space="preserve"> J/K. </w:t>
      </w:r>
      <w:hyperlink w:history="1" r:id="rIdkq-asbzo6ojgf7cfnpese">
        <w:r>
          <w:rPr>
            <w:rStyle w:val="Hyperlink"/>
            <w:rFonts w:ascii="Times New Roman" w:cs="Times New Roman" w:eastAsia="Times New Roman" w:hAnsi="Times New Roman"/>
          </w:rPr>
          <w:t xml:space="preserve">https://www.nist.gov/si-redefinition/kelvin/kelvin-boltzmann-constant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[4] Kolchinsky, A., and Wolpert, D. H. 2018. Semantic information, autonomous agency and non-equilibrium statistical physics. Interface Focus 8, 20180041. </w:t>
      </w:r>
      <w:hyperlink w:history="1" r:id="rId0qsc2gomifzbtcid4a53b">
        <w:r>
          <w:rPr>
            <w:rStyle w:val="Hyperlink"/>
            <w:rFonts w:ascii="Times New Roman" w:cs="Times New Roman" w:eastAsia="Times New Roman" w:hAnsi="Times New Roman"/>
          </w:rPr>
          <w:t xml:space="preserve">https://doi.org/10.1098/rsfs.2018.0041</w:t>
        </w:r>
      </w:hyperlink>
      <w:r>
        <w:rPr>
          <w:rFonts w:ascii="Times New Roman" w:cs="Times New Roman" w:eastAsia="Times New Roman" w:hAnsi="Times New Roman"/>
        </w:rPr>
        <w:t xml:space="preserve">. </w:t>
      </w:r>
      <w:hyperlink w:history="1" r:id="rIdpvg-wwmhbfdutst_raiuq">
        <w:r>
          <w:rPr>
            <w:rStyle w:val="Hyperlink"/>
            <w:rFonts w:ascii="Times New Roman" w:cs="Times New Roman" w:eastAsia="Times New Roman" w:hAnsi="Times New Roman"/>
          </w:rPr>
          <w:t xml:space="preserve">https://arxiv.org/abs/1806.08053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[5] Harris, J. J., Jolivet, R., and Attwell, D. 2012. Synaptic Energy Use and Supply. Neuron 75, 762–777, especially p. 764. </w:t>
      </w:r>
      <w:hyperlink w:history="1" r:id="rId4cbuohjj8togiunn_ur-y">
        <w:r>
          <w:rPr>
            <w:rStyle w:val="Hyperlink"/>
            <w:rFonts w:ascii="Times New Roman" w:cs="Times New Roman" w:eastAsia="Times New Roman" w:hAnsi="Times New Roman"/>
          </w:rPr>
          <w:t xml:space="preserve">https://doi.org/10.1016/j.neuron.2012.08.019</w:t>
        </w:r>
      </w:hyperlink>
      <w:r>
        <w:rPr>
          <w:rFonts w:ascii="Times New Roman" w:cs="Times New Roman" w:eastAsia="Times New Roman" w:hAnsi="Times New Roman"/>
        </w:rPr>
        <w:t xml:space="preserve">. Repository copy: </w:t>
      </w:r>
      <w:hyperlink w:history="1" r:id="rIdjapu7jndxlpov5q2aovpg">
        <w:r>
          <w:rPr>
            <w:rStyle w:val="Hyperlink"/>
            <w:rFonts w:ascii="Times New Roman" w:cs="Times New Roman" w:eastAsia="Times New Roman" w:hAnsi="Times New Roman"/>
          </w:rPr>
          <w:t xml:space="preserve">https://discovery.ucl.ac.uk/id/eprint/1368741/1/1368741.pdf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[6] Levy, W. B., and Calvert, V. G. 2021. Communication consumes 35 times more energy than computation in the human cortex but both costs are needed to predict synapse number. PNAS 118, e2008173118. </w:t>
      </w:r>
      <w:hyperlink w:history="1" r:id="rIdchcqsbm5tor7kfnfrvfdm">
        <w:r>
          <w:rPr>
            <w:rStyle w:val="Hyperlink"/>
            <w:rFonts w:ascii="Times New Roman" w:cs="Times New Roman" w:eastAsia="Times New Roman" w:hAnsi="Times New Roman"/>
          </w:rPr>
          <w:t xml:space="preserve">https://doi.org/10.1073/pnas.2008173118</w:t>
        </w:r>
      </w:hyperlink>
      <w:r>
        <w:rPr>
          <w:rFonts w:ascii="Times New Roman" w:cs="Times New Roman" w:eastAsia="Times New Roman" w:hAnsi="Times New Roman"/>
        </w:rPr>
        <w:t xml:space="preserve">. </w:t>
      </w:r>
      <w:hyperlink w:history="1" r:id="rIduog1icolbpxehfzvry5ft">
        <w:r>
          <w:rPr>
            <w:rStyle w:val="Hyperlink"/>
            <w:rFonts w:ascii="Times New Roman" w:cs="Times New Roman" w:eastAsia="Times New Roman" w:hAnsi="Times New Roman"/>
          </w:rPr>
          <w:t xml:space="preserve">https://arxiv.org/abs/2102.06273</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[7] Holt-Lunstad, J., Smith, T. B., Baker, M., Harris, T., and Stephenson, D. 2015. Loneliness and social isolation as risk factors for mortality: A meta-analytic review. Perspectives on Psychological Science 10, 227–237. </w:t>
      </w:r>
      <w:hyperlink w:history="1" r:id="rId7iatf4brut3ktgrwath2g">
        <w:r>
          <w:rPr>
            <w:rStyle w:val="Hyperlink"/>
            <w:rFonts w:ascii="Times New Roman" w:cs="Times New Roman" w:eastAsia="Times New Roman" w:hAnsi="Times New Roman"/>
          </w:rPr>
          <w:t xml:space="preserve">https://doi.org/10.1177/1745691614568352</w:t>
        </w:r>
      </w:hyperlink>
      <w:r>
        <w:rPr>
          <w:rFonts w:ascii="Times New Roman" w:cs="Times New Roman" w:eastAsia="Times New Roman" w:hAnsi="Times New Roman"/>
        </w:rPr>
        <w:t xml:space="preserve">. </w:t>
      </w:r>
      <w:hyperlink w:history="1" r:id="rIdvoth23njzk4lplbkqc796">
        <w:r>
          <w:rPr>
            <w:rStyle w:val="Hyperlink"/>
            <w:rFonts w:ascii="Times New Roman" w:cs="Times New Roman" w:eastAsia="Times New Roman" w:hAnsi="Times New Roman"/>
          </w:rPr>
          <w:t xml:space="preserve">https://pubmed.ncbi.nlm.nih.gov/25910392/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[8] Wang, F., et al. 2023. A systematic review and meta-analysis of 90 cohort studies of social isolation, loneliness and mortality. Nature Human Behaviour 7, 1307–1319. </w:t>
      </w:r>
      <w:hyperlink w:history="1" r:id="rIdxzdtzl8yqvel3w_fz6rth">
        <w:r>
          <w:rPr>
            <w:rStyle w:val="Hyperlink"/>
            <w:rFonts w:ascii="Times New Roman" w:cs="Times New Roman" w:eastAsia="Times New Roman" w:hAnsi="Times New Roman"/>
          </w:rPr>
          <w:t xml:space="preserve">https://doi.org/10.1038/s41562-023-01617-6</w:t>
        </w:r>
      </w:hyperlink>
      <w:r>
        <w:rPr>
          <w:rFonts w:ascii="Times New Roman" w:cs="Times New Roman" w:eastAsia="Times New Roman" w:hAnsi="Times New Roman"/>
        </w:rPr>
        <w:t xml:space="preserve">. </w:t>
      </w:r>
      <w:hyperlink w:history="1" r:id="rIdipyxpy6ptvsmyccbqthru">
        <w:r>
          <w:rPr>
            <w:rStyle w:val="Hyperlink"/>
            <w:rFonts w:ascii="Times New Roman" w:cs="Times New Roman" w:eastAsia="Times New Roman" w:hAnsi="Times New Roman"/>
          </w:rPr>
          <w:t xml:space="preserve">https://pubmed.ncbi.nlm.nih.gov/37337095/</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[9] Govern, C. C., and ten Wolde, P. R. 2014. Optimal resource allocation in cellular sensing systems. PNAS 111, 17486–17491. </w:t>
      </w:r>
      <w:hyperlink w:history="1" r:id="rIdwquvkxx0db4wlekzfpi9u">
        <w:r>
          <w:rPr>
            <w:rStyle w:val="Hyperlink"/>
            <w:rFonts w:ascii="Times New Roman" w:cs="Times New Roman" w:eastAsia="Times New Roman" w:hAnsi="Times New Roman"/>
          </w:rPr>
          <w:t xml:space="preserve">https://doi.org/10.1073/pnas.1411524111</w:t>
        </w:r>
      </w:hyperlink>
      <w:r>
        <w:rPr>
          <w:rFonts w:ascii="Times New Roman" w:cs="Times New Roman" w:eastAsia="Times New Roman" w:hAnsi="Times New Roman"/>
        </w:rPr>
        <w:t xml:space="preserve">. </w:t>
      </w:r>
      <w:hyperlink w:history="1" r:id="rIdqointkgby0hqnkucnmn34">
        <w:r>
          <w:rPr>
            <w:rStyle w:val="Hyperlink"/>
            <w:rFonts w:ascii="Times New Roman" w:cs="Times New Roman" w:eastAsia="Times New Roman" w:hAnsi="Times New Roman"/>
          </w:rPr>
          <w:t xml:space="preserve">https://pmc.ncbi.nlm.nih.gov/articles/PMC4267345/</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[10] Barato, A. C., and Seifert, U. 2015. Thermodynamic Uncertainty Relation for Biomolecular Processes. Physical Review Letters 114, 158101. </w:t>
      </w:r>
      <w:hyperlink w:history="1" r:id="rIdb-9tszryeifh3yo108yf1">
        <w:r>
          <w:rPr>
            <w:rStyle w:val="Hyperlink"/>
            <w:rFonts w:ascii="Times New Roman" w:cs="Times New Roman" w:eastAsia="Times New Roman" w:hAnsi="Times New Roman"/>
          </w:rPr>
          <w:t xml:space="preserve">https://doi.org/10.1103/PhysRevLett.114.158101</w:t>
        </w:r>
      </w:hyperlink>
      <w:r>
        <w:rPr>
          <w:rFonts w:ascii="Times New Roman" w:cs="Times New Roman" w:eastAsia="Times New Roman" w:hAnsi="Times New Roman"/>
        </w:rPr>
        <w:t xml:space="preserve">. </w:t>
      </w:r>
      <w:hyperlink w:history="1" r:id="rIdwks9hrlrmeobwpieswpmv">
        <w:r>
          <w:rPr>
            <w:rStyle w:val="Hyperlink"/>
            <w:rFonts w:ascii="Times New Roman" w:cs="Times New Roman" w:eastAsia="Times New Roman" w:hAnsi="Times New Roman"/>
          </w:rPr>
          <w:t xml:space="preserve">https://arxiv.org/abs/1502.05944</w:t>
        </w:r>
      </w:hyperlink>
      <w:r>
        <w:rPr>
          <w:rFonts w:ascii="Times New Roman" w:cs="Times New Roman" w:eastAsia="Times New Roman" w:hAnsi="Times New Roman"/>
        </w:rPr>
        <w:t xml:space="preserve">.</w:t>
      </w:r>
    </w:p>
    <w:p>
      <w:pPr>
        <w:pStyle w:val="Heading3"/>
        <w:keepNext/>
      </w:pPr>
      <w:r>
        <w:rPr>
          <w:rFonts w:ascii="Times New Roman" w:cs="Times New Roman" w:eastAsia="Times New Roman" w:hAnsi="Times New Roman"/>
        </w:rPr>
        <w:t xml:space="preserve">Studies cited in Chapters 3 and 5</w:t>
      </w:r>
    </w:p>
    <w:p>
      <w:pPr>
        <w:keepNext w:val="false"/>
        <w:spacing w:after="160"/>
      </w:pPr>
      <w:r>
        <w:rPr>
          <w:rFonts w:ascii="Times New Roman" w:cs="Times New Roman" w:eastAsia="Times New Roman" w:hAnsi="Times New Roman"/>
        </w:rPr>
        <w:t xml:space="preserve">Van Heteren, J. A. A., and colleagues. 2025. Speech Perception in Noise After Cochlear Implantation for Single-Sided Deafness: A Randomized Clinical Trial. JAMA Otolaryngology–Head &amp; Neck Surgery 151, 211–219. DOI 10.1001/jamaoto.2024.4760. </w:t>
      </w:r>
      <w:hyperlink w:history="1" r:id="rIdr0vfeeucdwlswjfx9ewrg">
        <w:r>
          <w:rPr>
            <w:rStyle w:val="Hyperlink"/>
            <w:rFonts w:ascii="Times New Roman" w:cs="Times New Roman" w:eastAsia="Times New Roman" w:hAnsi="Times New Roman"/>
          </w:rPr>
          <w:t xml:space="preserve">Primary abstract and metadata</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Hampson, R. E., and colleagues. 2018. Developing a hippocampal neural prosthetic to facilitate human memory encoding and recall. Journal of Neural Engineering 15, 036014. DOI 10.1088/1741-2552/aaaed7. </w:t>
      </w:r>
      <w:hyperlink w:history="1" r:id="rIdub3ivntcxebs09zuxwd78">
        <w:r>
          <w:rPr>
            <w:rStyle w:val="Hyperlink"/>
            <w:rFonts w:ascii="Times New Roman" w:cs="Times New Roman" w:eastAsia="Times New Roman" w:hAnsi="Times New Roman"/>
          </w:rPr>
          <w:t xml:space="preserve">Primary abstract and metadata</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Vaccaro, M., Almaatouq, A., and Malone, T. 2024. When combinations of humans and AI are useful: A systematic review and meta-analysis. Nature Human Behaviour 8, 2293–2303. DOI 10.1038/s41562-024-02024-1. </w:t>
      </w:r>
      <w:hyperlink w:history="1" r:id="rIdgp6drsqutut1cyqtsmuh9">
        <w:r>
          <w:rPr>
            <w:rStyle w:val="Hyperlink"/>
            <w:rFonts w:ascii="Times New Roman" w:cs="Times New Roman" w:eastAsia="Times New Roman" w:hAnsi="Times New Roman"/>
          </w:rPr>
          <w:t xml:space="preserve">Full publisher article</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rPr>
        <w:t xml:space="preserve">The two device-study examples are limited to the inspected primary abstracts and available metadata; repository access prevented full-body inspection during the earlier pass. The human–AI meta-analysis was inspected in publisher full text for the retained claims. These sources do not validate relational efficiency, personal identity criteria or a universal developmental mechanism.</w:t>
      </w:r>
    </w:p>
    <w:p>
      <w:pPr>
        <w:pStyle w:val="Heading3"/>
        <w:keepNext/>
      </w:pPr>
      <w:r>
        <w:rPr>
          <w:rFonts w:ascii="Times New Roman" w:cs="Times New Roman" w:eastAsia="Times New Roman" w:hAnsi="Times New Roman"/>
        </w:rPr>
        <w:t xml:space="preserve">Supplemental source note</w:t>
      </w:r>
    </w:p>
    <w:p>
      <w:pPr>
        <w:keepNext w:val="false"/>
        <w:spacing w:after="160"/>
      </w:pPr>
      <w:r>
        <w:rPr>
          <w:rFonts w:ascii="Times New Roman" w:cs="Times New Roman" w:eastAsia="Times New Roman" w:hAnsi="Times New Roman"/>
          <w:i/>
          <w:iCs/>
        </w:rPr>
        <w:t xml:space="preserve">Added in Edition 2.5 for the biological column of the endosymbiosis analogy table. It supports the biological description only, not the human–AI mapping, and does not renumber the inherited references.</w:t>
      </w:r>
    </w:p>
    <w:p>
      <w:pPr>
        <w:keepNext w:val="false"/>
        <w:spacing w:after="160"/>
      </w:pPr>
      <w:r>
        <w:rPr>
          <w:rFonts w:ascii="Times New Roman" w:cs="Times New Roman" w:eastAsia="Times New Roman" w:hAnsi="Times New Roman"/>
          <w:b/>
          <w:bCs/>
        </w:rPr>
        <w:t xml:space="preserve">E1.</w:t>
      </w:r>
      <w:r>
        <w:rPr>
          <w:rFonts w:ascii="Times New Roman" w:cs="Times New Roman" w:eastAsia="Times New Roman" w:hAnsi="Times New Roman"/>
        </w:rPr>
        <w:t xml:space="preserve"> Archibald, J. M. 2015. Endosymbiosis and Eukaryotic Cell Evolution. </w:t>
      </w:r>
      <w:r>
        <w:rPr>
          <w:rFonts w:ascii="Times New Roman" w:cs="Times New Roman" w:eastAsia="Times New Roman" w:hAnsi="Times New Roman"/>
          <w:i/>
          <w:iCs/>
        </w:rPr>
        <w:t xml:space="preserve">Current Biology</w:t>
      </w:r>
      <w:r>
        <w:rPr>
          <w:rFonts w:ascii="Times New Roman" w:cs="Times New Roman" w:eastAsia="Times New Roman" w:hAnsi="Times New Roman"/>
        </w:rPr>
        <w:t xml:space="preserve"> 25(19), R911–R921. </w:t>
      </w:r>
      <w:hyperlink w:history="1" r:id="rIdl2xppe06azo8a6jxidtgo">
        <w:r>
          <w:rPr>
            <w:rStyle w:val="Hyperlink"/>
            <w:rFonts w:ascii="Times New Roman" w:cs="Times New Roman" w:eastAsia="Times New Roman" w:hAnsi="Times New Roman"/>
          </w:rPr>
          <w:t xml:space="preserve">https://doi.org/10.1016/j.cub.2015.07.055</w:t>
        </w:r>
      </w:hyperlink>
      <w:r>
        <w:rPr>
          <w:rFonts w:ascii="Times New Roman" w:cs="Times New Roman" w:eastAsia="Times New Roman" w:hAnsi="Times New Roman"/>
        </w:rPr>
        <w:t xml:space="preserve">. Supports: mitochondria evolved from bacteria by endosymbiosis, from an endosymbiont of α-proteobacterial ancestry; the nature of the host cell remains an open question.</w:t>
      </w:r>
    </w:p>
    <w:sectPr>
      <w:headerReference w:type="default" r:id="rId7"/>
      <w:footerReference w:type="default" r:id="rId8"/>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6"/>
        <w:szCs w:val="16"/>
      </w:rPr>
      <w:t xml:space="preserve">Entropy · Volume 4 · Edition 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Times New Roman" w:cs="Times New Roman" w:eastAsia="Times New Roman" w:hAnsi="Times New Roman"/>
      <w:b/>
      <w:bCs/>
      <w:sz w:val="36"/>
      <w:szCs w:val="36"/>
    </w:rPr>
  </w:style>
  <w:style w:type="paragraph" w:styleId="Heading2">
    <w:name w:val="Heading 2"/>
    <w:basedOn w:val="Normal"/>
    <w:next w:val="Normal"/>
    <w:qFormat/>
    <w:pPr>
      <w:keepNext/>
      <w:spacing w:after="120" w:before="32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keepNext/>
      <w:spacing w:after="100" w:before="240"/>
      <w:outlineLvl w:val="2"/>
    </w:pPr>
    <w:rPr>
      <w:rFonts w:ascii="Times New Roman" w:cs="Times New Roman" w:eastAsia="Times New Roman" w:hAnsi="Times New Roman"/>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cahbsqqrsbhqxedrkrck" Type="http://schemas.openxmlformats.org/officeDocument/2006/relationships/hyperlink" Target="https://doi.org/10.1038/nature10872" TargetMode="External"/><Relationship Id="rIdwoblwultqaerf3fbbz8ix" Type="http://schemas.openxmlformats.org/officeDocument/2006/relationships/hyperlink" Target="https://doi.org/10.1147/rd.176.0525" TargetMode="External"/><Relationship Id="rIdglokwopimirmp-8sbj50-" Type="http://schemas.openxmlformats.org/officeDocument/2006/relationships/hyperlink" Target="https://www.cs.princeton.edu/courses/archive/fall06/cos576/papers/bennett73.html" TargetMode="External"/><Relationship Id="rIdkq-asbzo6ojgf7cfnpese" Type="http://schemas.openxmlformats.org/officeDocument/2006/relationships/hyperlink" Target="https://www.nist.gov/si-redefinition/kelvin/kelvin-boltzmann-constant" TargetMode="External"/><Relationship Id="rId0qsc2gomifzbtcid4a53b" Type="http://schemas.openxmlformats.org/officeDocument/2006/relationships/hyperlink" Target="https://doi.org/10.1098/rsfs.2018.0041" TargetMode="External"/><Relationship Id="rIdpvg-wwmhbfdutst_raiuq" Type="http://schemas.openxmlformats.org/officeDocument/2006/relationships/hyperlink" Target="https://arxiv.org/abs/1806.08053" TargetMode="External"/><Relationship Id="rId4cbuohjj8togiunn_ur-y" Type="http://schemas.openxmlformats.org/officeDocument/2006/relationships/hyperlink" Target="https://doi.org/10.1016/j.neuron.2012.08.019" TargetMode="External"/><Relationship Id="rIdjapu7jndxlpov5q2aovpg" Type="http://schemas.openxmlformats.org/officeDocument/2006/relationships/hyperlink" Target="https://discovery.ucl.ac.uk/id/eprint/1368741/1/1368741.pdf" TargetMode="External"/><Relationship Id="rIdchcqsbm5tor7kfnfrvfdm" Type="http://schemas.openxmlformats.org/officeDocument/2006/relationships/hyperlink" Target="https://doi.org/10.1073/pnas.2008173118" TargetMode="External"/><Relationship Id="rIduog1icolbpxehfzvry5ft" Type="http://schemas.openxmlformats.org/officeDocument/2006/relationships/hyperlink" Target="https://arxiv.org/abs/2102.06273" TargetMode="External"/><Relationship Id="rId7iatf4brut3ktgrwath2g" Type="http://schemas.openxmlformats.org/officeDocument/2006/relationships/hyperlink" Target="https://doi.org/10.1177/1745691614568352" TargetMode="External"/><Relationship Id="rIdvoth23njzk4lplbkqc796" Type="http://schemas.openxmlformats.org/officeDocument/2006/relationships/hyperlink" Target="https://pubmed.ncbi.nlm.nih.gov/25910392/" TargetMode="External"/><Relationship Id="rIdxzdtzl8yqvel3w_fz6rth" Type="http://schemas.openxmlformats.org/officeDocument/2006/relationships/hyperlink" Target="https://doi.org/10.1038/s41562-023-01617-6" TargetMode="External"/><Relationship Id="rIdipyxpy6ptvsmyccbqthru" Type="http://schemas.openxmlformats.org/officeDocument/2006/relationships/hyperlink" Target="https://pubmed.ncbi.nlm.nih.gov/37337095/" TargetMode="External"/><Relationship Id="rIdwquvkxx0db4wlekzfpi9u" Type="http://schemas.openxmlformats.org/officeDocument/2006/relationships/hyperlink" Target="https://doi.org/10.1073/pnas.1411524111" TargetMode="External"/><Relationship Id="rIdqointkgby0hqnkucnmn34" Type="http://schemas.openxmlformats.org/officeDocument/2006/relationships/hyperlink" Target="https://pmc.ncbi.nlm.nih.gov/articles/PMC4267345/" TargetMode="External"/><Relationship Id="rIdb-9tszryeifh3yo108yf1" Type="http://schemas.openxmlformats.org/officeDocument/2006/relationships/hyperlink" Target="https://doi.org/10.1103/PhysRevLett.114.158101" TargetMode="External"/><Relationship Id="rIdwks9hrlrmeobwpieswpmv" Type="http://schemas.openxmlformats.org/officeDocument/2006/relationships/hyperlink" Target="https://arxiv.org/abs/1502.05944" TargetMode="External"/><Relationship Id="rIdr0vfeeucdwlswjfx9ewrg" Type="http://schemas.openxmlformats.org/officeDocument/2006/relationships/hyperlink" Target="https://pubmed.ncbi.nlm.nih.gov/39820302/" TargetMode="External"/><Relationship Id="rIdub3ivntcxebs09zuxwd78" Type="http://schemas.openxmlformats.org/officeDocument/2006/relationships/hyperlink" Target="https://pubmed.ncbi.nlm.nih.gov/29589592/" TargetMode="External"/><Relationship Id="rIdgp6drsqutut1cyqtsmuh9" Type="http://schemas.openxmlformats.org/officeDocument/2006/relationships/hyperlink" Target="https://www.nature.com/articles/s41562-024-02024-1" TargetMode="External"/><Relationship Id="rIdl2xppe06azo8a6jxidtgo" Type="http://schemas.openxmlformats.org/officeDocument/2006/relationships/hyperlink" Target="https://doi.org/10.1016/j.cub.2015.07.055"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4: The Substrate Gradient (Edition 2.5, private review copy)</dc:title>
  <dc:creator>Michael S. Moniz</dc:creator>
  <cp:lastModifiedBy>Un-named</cp:lastModifiedBy>
  <cp:revision>1</cp:revision>
  <dcterms:created xsi:type="dcterms:W3CDTF">2026-11-02T00:44:37.175Z</dcterms:created>
  <dcterms:modified xsi:type="dcterms:W3CDTF">2026-11-02T00:44:37.179Z</dcterms:modified>
</cp:coreProperties>
</file>

<file path=docProps/custom.xml><?xml version="1.0" encoding="utf-8"?>
<Properties xmlns="http://schemas.openxmlformats.org/officeDocument/2006/custom-properties" xmlns:vt="http://schemas.openxmlformats.org/officeDocument/2006/docPropsVTypes"/>
</file>