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444444"/>
          <w:sz w:val="17"/>
          <w:szCs w:val="17"/>
        </w:rPr>
        <w:t xml:space="preserve">Producing entity: S.A.I.L. — Solo Artificial Intelligence Laboratory (Trinket Soul Empire)</w:t>
      </w:r>
    </w:p>
    <w:p>
      <w:pPr>
        <w:spacing w:after="40"/>
      </w:pPr>
      <w:r>
        <w:rPr>
          <w:rFonts w:ascii="Arial" w:cs="Arial" w:eastAsia="Arial" w:hAnsi="Arial"/>
          <w:color w:val="444444"/>
          <w:sz w:val="17"/>
          <w:szCs w:val="17"/>
        </w:rPr>
        <w:t xml:space="preserve">Derivation: Moniz–Claude forecasting thread, 23 April – 13 October 2026; three rounds of external adversarial review (GPT)</w:t>
      </w:r>
    </w:p>
    <w:p>
      <w:pPr>
        <w:spacing w:after="40"/>
      </w:pPr>
      <w:r>
        <w:rPr>
          <w:rFonts w:ascii="Arial" w:cs="Arial" w:eastAsia="Arial" w:hAnsi="Arial"/>
          <w:color w:val="444444"/>
          <w:sz w:val="17"/>
          <w:szCs w:val="17"/>
        </w:rPr>
        <w:t xml:space="preserve">Date: 13 October 2026  ·  Tier: Open — public record  ·  License: CC BY-NC-SA 4.0</w:t>
      </w:r>
    </w:p>
    <w:p>
      <w:pPr>
        <w:pBdr>
          <w:bottom w:val="single" w:color="1F4E79" w:sz="6" w:space="1"/>
        </w:pBdr>
        <w:spacing w:after="160" w:before="160"/>
      </w:pPr>
    </w:p>
    <w:p>
      <w:pPr>
        <w:spacing w:after="80" w:before="200"/>
        <w:jc w:val="center"/>
      </w:pPr>
      <w:r>
        <w:rPr>
          <w:rFonts w:ascii="Georgia" w:cs="Georgia" w:eastAsia="Georgia" w:hAnsi="Georgia"/>
          <w:b/>
          <w:bCs/>
          <w:sz w:val="44"/>
          <w:szCs w:val="44"/>
        </w:rPr>
        <w:t xml:space="preserve">The Open Ledger</w:t>
      </w:r>
    </w:p>
    <w:p>
      <w:pPr>
        <w:spacing w:after="200"/>
        <w:jc w:val="center"/>
      </w:pPr>
      <w:r>
        <w:rPr>
          <w:rFonts w:ascii="Georgia" w:cs="Georgia" w:eastAsia="Georgia" w:hAnsi="Georgia"/>
          <w:i/>
          <w:iCs/>
          <w:color w:val="444444"/>
          <w:sz w:val="26"/>
          <w:szCs w:val="26"/>
        </w:rPr>
        <w:t xml:space="preserve">Six Months of Dated Human–AI Forecasting Through the 2026 Strait of Hormuz Crisis</w:t>
      </w:r>
    </w:p>
    <w:p>
      <w:pPr>
        <w:spacing w:after="40"/>
        <w:jc w:val="center"/>
      </w:pPr>
      <w:r>
        <w:rPr>
          <w:rFonts w:ascii="Georgia" w:cs="Georgia" w:eastAsia="Georgia" w:hAnsi="Georgia"/>
          <w:b/>
          <w:bCs/>
          <w:sz w:val="22"/>
          <w:szCs w:val="22"/>
        </w:rPr>
        <w:t xml:space="preserve">Michael S. Moniz</w:t>
      </w:r>
      <w:r>
        <w:rPr>
          <w:rFonts w:ascii="Georgia" w:cs="Georgia" w:eastAsia="Georgia" w:hAnsi="Georgia"/>
          <w:sz w:val="22"/>
          <w:szCs w:val="22"/>
        </w:rPr>
        <w:t xml:space="preserve"> · </w:t>
      </w:r>
      <w:r>
        <w:rPr>
          <w:rFonts w:ascii="Georgia" w:cs="Georgia" w:eastAsia="Georgia" w:hAnsi="Georgia"/>
          <w:i/>
          <w:iCs/>
          <w:sz w:val="22"/>
          <w:szCs w:val="22"/>
        </w:rPr>
        <w:t xml:space="preserve">author of record</w:t>
      </w:r>
    </w:p>
    <w:p>
      <w:pPr>
        <w:spacing w:after="120"/>
        <w:jc w:val="center"/>
      </w:pPr>
      <w:r>
        <w:rPr>
          <w:rFonts w:ascii="Georgia" w:cs="Georgia" w:eastAsia="Georgia" w:hAnsi="Georgia"/>
          <w:sz w:val="22"/>
          <w:szCs w:val="22"/>
        </w:rPr>
        <w:t xml:space="preserve">rendered with Claude (</w:t>
      </w:r>
      <w:r>
        <w:rPr>
          <w:rFonts w:ascii="Georgia" w:cs="Georgia" w:eastAsia="Georgia" w:hAnsi="Georgia"/>
          <w:i/>
          <w:iCs/>
          <w:sz w:val="22"/>
          <w:szCs w:val="22"/>
        </w:rPr>
        <w:t xml:space="preserve">rendering surface</w:t>
      </w:r>
      <w:r>
        <w:rPr>
          <w:rFonts w:ascii="Georgia" w:cs="Georgia" w:eastAsia="Georgia" w:hAnsi="Georgia"/>
          <w:sz w:val="22"/>
          <w:szCs w:val="22"/>
        </w:rPr>
        <w:t xml:space="preserve">) · 2026</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Document Status</w:t>
      </w:r>
    </w:p>
    <w:p>
      <w:pPr>
        <w:spacing w:after="140" w:line="300"/>
      </w:pPr>
      <w:r>
        <w:rPr>
          <w:rFonts w:ascii="Georgia" w:cs="Georgia" w:eastAsia="Georgia" w:hAnsi="Georgia"/>
          <w:sz w:val="22"/>
          <w:szCs w:val="22"/>
        </w:rPr>
        <w:t xml:space="preserve">Publication Edition v1.0 · Lock Candidate. The body is frozen on publication at the Principal’s call, under the Lock Charter v1.1 that governs this canon. Resolutions, corrections, and updated odds enter only as dated, claim-typed, append-only addenda; nothing above them changes. Standalone — unnumbered pending Canon Index verification.</w:t>
      </w:r>
    </w:p>
    <w:p>
      <w:pPr>
        <w:spacing w:after="140" w:line="300"/>
      </w:pPr>
      <w:r>
        <w:rPr>
          <w:rFonts w:ascii="Georgia" w:cs="Georgia" w:eastAsia="Georgia" w:hAnsi="Georgia"/>
          <w:sz w:val="22"/>
          <w:szCs w:val="22"/>
        </w:rPr>
        <w:t xml:space="preserve">Claim status: a case record with N = 1. No calibrated accuracy is claimed. The error profile in Section 6 is a hypothesis the open items will test, not a finding.</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Abstract</w:t>
      </w:r>
    </w:p>
    <w:p>
      <w:pPr>
        <w:spacing w:after="140" w:line="300"/>
      </w:pPr>
      <w:r>
        <w:rPr>
          <w:rFonts w:ascii="Georgia" w:cs="Georgia" w:eastAsia="Georgia" w:hAnsi="Georgia"/>
          <w:sz w:val="22"/>
          <w:szCs w:val="22"/>
        </w:rPr>
        <w:t xml:space="preserve">Between 23 April and 13 October 2026, a trailer dealer with no formal training in energy, geopolitics, or macroeconomics and a frontier language model kept a dated forecasting ledger through the 2026 Strait of Hormuz crisis. Every call carried a date and, where the question allowed, stated odds from both parties. Misses were kept. Resolution rules were fixed before outcomes. An outside model reviewed the work three times.</w:t>
      </w:r>
    </w:p>
    <w:p>
      <w:pPr>
        <w:spacing w:after="140" w:line="300"/>
      </w:pPr>
      <w:r>
        <w:rPr>
          <w:rFonts w:ascii="Georgia" w:cs="Georgia" w:eastAsia="Georgia" w:hAnsi="Georgia"/>
          <w:sz w:val="22"/>
          <w:szCs w:val="22"/>
        </w:rPr>
        <w:t xml:space="preserve">This paper publishes the ledger while most of its open items are still unresolved, so that the timestamps, not the authors, carry the weight. It does not claim a hit rate. It claims a record: what was called, by whom, at what odds, what happened, and a hypothesis about the forecaster’s error profile that the open board will test between December 2026 and 2030.</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1. Why Publish Now</w:t>
      </w:r>
    </w:p>
    <w:p>
      <w:pPr>
        <w:spacing w:after="140" w:line="300"/>
      </w:pPr>
      <w:r>
        <w:rPr>
          <w:rFonts w:ascii="Georgia" w:cs="Georgia" w:eastAsia="Georgia" w:hAnsi="Georgia"/>
          <w:sz w:val="22"/>
          <w:szCs w:val="22"/>
        </w:rPr>
        <w:t xml:space="preserve">A forecasting record is worth exactly as much as its timestamps. Written after the outcomes, a ledger is a story. Published before them, it is evidence. Most of the open items resolve between December 2026 and the end of 2028, so publishing now turns a private conversation into a public pre-registration.</w:t>
      </w:r>
    </w:p>
    <w:p>
      <w:pPr>
        <w:spacing w:after="140" w:line="300"/>
      </w:pPr>
      <w:r>
        <w:rPr>
          <w:rFonts w:ascii="Georgia" w:cs="Georgia" w:eastAsia="Georgia" w:hAnsi="Georgia"/>
          <w:sz w:val="22"/>
          <w:szCs w:val="22"/>
        </w:rPr>
        <w:t xml:space="preserve">The Lock Charter supplies the second half of the discipline. A body that cannot be edited after the outcome is what makes a forecasting record trustworthy. Every later change to this record — a resolution, a corrected figure, a narrowed range — arrives as a dated addendum below an unchanged text.</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2. Participants and Method</w:t>
      </w:r>
    </w:p>
    <w:p>
      <w:pPr>
        <w:spacing w:after="140" w:line="300"/>
      </w:pPr>
      <w:r>
        <w:rPr>
          <w:rFonts w:ascii="Georgia" w:cs="Georgia" w:eastAsia="Georgia" w:hAnsi="Georgia"/>
          <w:b/>
          <w:bCs/>
          <w:sz w:val="22"/>
          <w:szCs w:val="22"/>
        </w:rPr>
        <w:t xml:space="preserve">The forecaster. </w:t>
      </w:r>
      <w:r>
        <w:rPr>
          <w:rFonts w:ascii="Georgia" w:cs="Georgia" w:eastAsia="Georgia" w:hAnsi="Georgia"/>
          <w:sz w:val="22"/>
          <w:szCs w:val="22"/>
        </w:rPr>
        <w:t xml:space="preserve">Michael S. Moniz, owner-operator of a family trailer dealership in southeastern Massachusetts and sole author of the Trinket Soul Framework. Self-described analyst first; no formal training in the domains forecast here. His method is structural pattern transfer: reading the pressure on each actor through a pattern seen elsewhere, then calling the direction of travel.</w:t>
      </w:r>
    </w:p>
    <w:p>
      <w:pPr>
        <w:spacing w:after="140" w:line="300"/>
      </w:pPr>
      <w:r>
        <w:rPr>
          <w:rFonts w:ascii="Georgia" w:cs="Georgia" w:eastAsia="Georgia" w:hAnsi="Georgia"/>
          <w:b/>
          <w:bCs/>
          <w:sz w:val="22"/>
          <w:szCs w:val="22"/>
        </w:rPr>
        <w:t xml:space="preserve">The counterweight. </w:t>
      </w:r>
      <w:r>
        <w:rPr>
          <w:rFonts w:ascii="Georgia" w:cs="Georgia" w:eastAsia="Georgia" w:hAnsi="Georgia"/>
          <w:sz w:val="22"/>
          <w:szCs w:val="22"/>
        </w:rPr>
        <w:t xml:space="preserve">Claude (Anthropic), serving as rendering surface, compiler of the ledger, and a forecasting seat in its own right. Claude was required to state its own odds and to disagree where it disagreed. It is not independent of the record it is scored in, and that limit is stated in Section 9.</w:t>
      </w:r>
    </w:p>
    <w:p>
      <w:pPr>
        <w:spacing w:after="140" w:line="300"/>
      </w:pPr>
      <w:r>
        <w:rPr>
          <w:rFonts w:ascii="Georgia" w:cs="Georgia" w:eastAsia="Georgia" w:hAnsi="Georgia"/>
          <w:b/>
          <w:bCs/>
          <w:sz w:val="22"/>
          <w:szCs w:val="22"/>
        </w:rPr>
        <w:t xml:space="preserve">The outside reader. </w:t>
      </w:r>
      <w:r>
        <w:rPr>
          <w:rFonts w:ascii="Georgia" w:cs="Georgia" w:eastAsia="Georgia" w:hAnsi="Georgia"/>
          <w:sz w:val="22"/>
          <w:szCs w:val="22"/>
        </w:rPr>
        <w:t xml:space="preserve">GPT (OpenAI) gave three rounds of adversarial review on the papers this thread produced. Its most consequential ruling for this paper: the running tally of correct calls was not a calibrated hit rate and should not be published as one. That ruling is honored here.</w:t>
      </w:r>
    </w:p>
    <w:p>
      <w:pPr>
        <w:spacing w:after="140" w:line="300"/>
      </w:pPr>
      <w:r>
        <w:rPr>
          <w:rFonts w:ascii="Georgia" w:cs="Georgia" w:eastAsia="Georgia" w:hAnsi="Georgia"/>
          <w:b/>
          <w:bCs/>
          <w:sz w:val="22"/>
          <w:szCs w:val="22"/>
        </w:rPr>
        <w:t xml:space="preserve">No synthesis seat. </w:t>
      </w:r>
      <w:r>
        <w:rPr>
          <w:rFonts w:ascii="Georgia" w:cs="Georgia" w:eastAsia="Georgia" w:hAnsi="Georgia"/>
          <w:sz w:val="22"/>
          <w:szCs w:val="22"/>
        </w:rPr>
        <w:t xml:space="preserve">Disagreements were carried, not merged. Where seats disagree, every number stands on the board.</w:t>
      </w:r>
    </w:p>
    <w:p>
      <w:pPr>
        <w:spacing w:after="140" w:line="300"/>
      </w:pPr>
      <w:r>
        <w:rPr>
          <w:rFonts w:ascii="Georgia" w:cs="Georgia" w:eastAsia="Georgia" w:hAnsi="Georgia"/>
          <w:b/>
          <w:bCs/>
          <w:sz w:val="22"/>
          <w:szCs w:val="22"/>
        </w:rPr>
        <w:t xml:space="preserve">Rules. </w:t>
      </w:r>
      <w:r>
        <w:rPr>
          <w:rFonts w:ascii="Georgia" w:cs="Georgia" w:eastAsia="Georgia" w:hAnsi="Georgia"/>
          <w:sz w:val="22"/>
          <w:szCs w:val="22"/>
        </w:rPr>
        <w:t xml:space="preserve">Calls are dated. Odds are stated where the question allows. Resolution rules are fixed before the outcome; for example, a recession is dated to the quarter in which the Sahm rule reaches 0.50 or the second of two consecutive negative advance GDP prints occurs. Updated odds are logged as dated updates with the originals kept. Data errors are corrected in the open: the 2026 Brent high was first logged from a bad source at $120.88 and corrected to the 30 April intraday print of $126.41.</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3. The Framework Under Test</w:t>
      </w:r>
    </w:p>
    <w:p>
      <w:pPr>
        <w:spacing w:after="180" w:before="80"/>
        <w:ind w:left="720" w:right="720"/>
        <w:jc w:val="center"/>
      </w:pPr>
      <w:r>
        <w:rPr>
          <w:rFonts w:ascii="Georgia" w:cs="Georgia" w:eastAsia="Georgia" w:hAnsi="Georgia"/>
          <w:i/>
          <w:iCs/>
          <w:color w:val="555555"/>
          <w:sz w:val="22"/>
          <w:szCs w:val="22"/>
        </w:rPr>
        <w:t xml:space="preserve">“People are like water. Water doesn’t have intelligence. But what water does have is the need to follow the path of least resistance.” — Moniz, 23 April 2026</w:t>
      </w:r>
    </w:p>
    <w:p>
      <w:pPr>
        <w:spacing w:after="140" w:line="300"/>
      </w:pPr>
      <w:r>
        <w:rPr>
          <w:rFonts w:ascii="Georgia" w:cs="Georgia" w:eastAsia="Georgia" w:hAnsi="Georgia"/>
          <w:b/>
          <w:bCs/>
          <w:sz w:val="22"/>
          <w:szCs w:val="22"/>
        </w:rPr>
        <w:t xml:space="preserve">The Water Principle. </w:t>
      </w:r>
      <w:r>
        <w:rPr>
          <w:rFonts w:ascii="Georgia" w:cs="Georgia" w:eastAsia="Georgia" w:hAnsi="Georgia"/>
          <w:sz w:val="22"/>
          <w:szCs w:val="22"/>
        </w:rPr>
        <w:t xml:space="preserve">Populations and states under resource constraint behave less like chess players and more like containers managing pressure. When the main channel is blocked, pressure finds the structural weak point.</w:t>
      </w:r>
    </w:p>
    <w:p>
      <w:pPr>
        <w:spacing w:after="140" w:line="300"/>
      </w:pPr>
      <w:r>
        <w:rPr>
          <w:rFonts w:ascii="Georgia" w:cs="Georgia" w:eastAsia="Georgia" w:hAnsi="Georgia"/>
          <w:b/>
          <w:bCs/>
          <w:sz w:val="22"/>
          <w:szCs w:val="22"/>
        </w:rPr>
        <w:t xml:space="preserve">The escalation grammar. </w:t>
      </w:r>
      <w:r>
        <w:rPr>
          <w:rFonts w:ascii="Georgia" w:cs="Georgia" w:eastAsia="Georgia" w:hAnsi="Georgia"/>
          <w:sz w:val="22"/>
          <w:szCs w:val="22"/>
        </w:rPr>
        <w:t xml:space="preserve">Step 1, the show of force. Step 2, the show fails. Step 3, a domestic freeze. Step 4, the freeze fails at the district level. Step 5, an external redirect — economic first, military (5a) in the tail. Each costly, genuine failure produces the provenance that authorizes the next step.</w:t>
      </w:r>
    </w:p>
    <w:p>
      <w:pPr>
        <w:spacing w:after="140" w:line="300"/>
      </w:pPr>
      <w:r>
        <w:rPr>
          <w:rFonts w:ascii="Georgia" w:cs="Georgia" w:eastAsia="Georgia" w:hAnsi="Georgia"/>
          <w:b/>
          <w:bCs/>
          <w:sz w:val="22"/>
          <w:szCs w:val="22"/>
        </w:rPr>
        <w:t xml:space="preserve">The dual clock. </w:t>
      </w:r>
      <w:r>
        <w:rPr>
          <w:rFonts w:ascii="Georgia" w:cs="Georgia" w:eastAsia="Georgia" w:hAnsi="Georgia"/>
          <w:sz w:val="22"/>
          <w:szCs w:val="22"/>
        </w:rPr>
        <w:t xml:space="preserve">For India: cooking gas (LPG) is the match, running in weeks; fertilizer and food are the fuel, running in months.</w:t>
      </w:r>
    </w:p>
    <w:p>
      <w:pPr>
        <w:spacing w:after="140" w:line="300"/>
      </w:pPr>
      <w:r>
        <w:rPr>
          <w:rFonts w:ascii="Georgia" w:cs="Georgia" w:eastAsia="Georgia" w:hAnsi="Georgia"/>
          <w:b/>
          <w:bCs/>
          <w:sz w:val="22"/>
          <w:szCs w:val="22"/>
        </w:rPr>
        <w:t xml:space="preserve">The reservoir term (July amendment). </w:t>
      </w:r>
      <w:r>
        <w:rPr>
          <w:rFonts w:ascii="Georgia" w:cs="Georgia" w:eastAsia="Georgia" w:hAnsi="Georgia"/>
          <w:sz w:val="22"/>
          <w:szCs w:val="22"/>
        </w:rPr>
        <w:t xml:space="preserve">Each step fires only when the buffer absorbing the previous step is exhausted. The same mechanism was observed at three scales at once: a nation’s strategic oil reserve, a manufacturer’s material cushion, and India’s granary and subsidy capacity. The amendment came from the record itself: the grammar stalled exactly where buffers held.</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4. The Resolved Record</w:t>
      </w:r>
    </w:p>
    <w:p>
      <w:pPr>
        <w:spacing w:after="140" w:line="300"/>
      </w:pPr>
      <w:r>
        <w:rPr>
          <w:rFonts w:ascii="Georgia" w:cs="Georgia" w:eastAsia="Georgia" w:hAnsi="Georgia"/>
          <w:sz w:val="22"/>
          <w:szCs w:val="22"/>
        </w:rPr>
        <w:t xml:space="preserve">Misses are listed alongside hits for both seats. Where a call split, it is scored as split.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1000"/>
        <w:gridCol w:w="1000"/>
        <w:gridCol w:w="4060"/>
      </w:tblGrid>
      <w:tr>
        <w:trPr>
          <w:tblHeader/>
        </w:trPr>
        <w:tc>
          <w:tcPr>
            <w:tcW w:type="dxa" w:w="3300"/>
            <w:shd w:fill="DCE6F0" w:color="auto" w:val="clear"/>
            <w:tcMar>
              <w:top w:type="dxa" w:w="60"/>
              <w:left w:type="dxa" w:w="90"/>
              <w:bottom w:type="dxa" w:w="60"/>
              <w:right w:type="dxa" w:w="90"/>
            </w:tcMar>
          </w:tcPr>
          <w:p>
            <w:r>
              <w:rPr>
                <w:rFonts w:ascii="Arial" w:cs="Arial" w:eastAsia="Arial" w:hAnsi="Arial"/>
                <w:b/>
                <w:bCs/>
                <w:sz w:val="18"/>
                <w:szCs w:val="18"/>
              </w:rPr>
              <w:t xml:space="preserve">Call</w:t>
            </w:r>
          </w:p>
        </w:tc>
        <w:tc>
          <w:tcPr>
            <w:tcW w:type="dxa" w:w="1000"/>
            <w:shd w:fill="DCE6F0" w:color="auto" w:val="clear"/>
            <w:tcMar>
              <w:top w:type="dxa" w:w="60"/>
              <w:left w:type="dxa" w:w="90"/>
              <w:bottom w:type="dxa" w:w="60"/>
              <w:right w:type="dxa" w:w="90"/>
            </w:tcMar>
          </w:tcPr>
          <w:p>
            <w:r>
              <w:rPr>
                <w:rFonts w:ascii="Arial" w:cs="Arial" w:eastAsia="Arial" w:hAnsi="Arial"/>
                <w:b/>
                <w:bCs/>
                <w:sz w:val="18"/>
                <w:szCs w:val="18"/>
              </w:rPr>
              <w:t xml:space="preserve">Seat</w:t>
            </w:r>
          </w:p>
        </w:tc>
        <w:tc>
          <w:tcPr>
            <w:tcW w:type="dxa" w:w="1000"/>
            <w:shd w:fill="DCE6F0" w:color="auto" w:val="clear"/>
            <w:tcMar>
              <w:top w:type="dxa" w:w="60"/>
              <w:left w:type="dxa" w:w="90"/>
              <w:bottom w:type="dxa" w:w="60"/>
              <w:right w:type="dxa" w:w="90"/>
            </w:tcMar>
          </w:tcPr>
          <w:p>
            <w:r>
              <w:rPr>
                <w:rFonts w:ascii="Arial" w:cs="Arial" w:eastAsia="Arial" w:hAnsi="Arial"/>
                <w:b/>
                <w:bCs/>
                <w:sz w:val="18"/>
                <w:szCs w:val="18"/>
              </w:rPr>
              <w:t xml:space="preserve">Result</w:t>
            </w:r>
          </w:p>
        </w:tc>
        <w:tc>
          <w:tcPr>
            <w:tcW w:type="dxa" w:w="4060"/>
            <w:shd w:fill="DCE6F0" w:color="auto" w:val="clear"/>
            <w:tcMar>
              <w:top w:type="dxa" w:w="60"/>
              <w:left w:type="dxa" w:w="90"/>
              <w:bottom w:type="dxa" w:w="60"/>
              <w:right w:type="dxa" w:w="90"/>
            </w:tcMar>
          </w:tcPr>
          <w:p>
            <w:r>
              <w:rPr>
                <w:rFonts w:ascii="Arial" w:cs="Arial" w:eastAsia="Arial" w:hAnsi="Arial"/>
                <w:b/>
                <w:bCs/>
                <w:sz w:val="18"/>
                <w:szCs w:val="18"/>
              </w:rPr>
              <w:t xml:space="preserve">Note</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Strait stays closed past 4 July</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An MOU was signed 17 June; the reopening collapsed within a week after tanker attacks.</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Iran digs in (hostage model, not a paper deal)</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Claude overweighted the deal path twice.</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Oil is artificially low, priced against futures for a strait that isn’t open</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Brent rose from about $72 (7 July) to about $108 (September).</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LPG first, fertilizer second (dual clock)</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India fought the crisis in that order.</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Bihar and eastern Uttar Pradesh crack first</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The strongest confirmed call, and the one least dependent on the framework.</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Escalation grammar, Steps 1–3</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Show, failure, and a regulatory freeze.</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Provenance accumulates from both belligerents</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Indian ships fired on and seized; Indian sailors killed in a US strike.</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A supplier’s price increase marks its material cushion running out</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Read from the forecaster’s own position in a supply chain.</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A knee-jerk diesel tax response for farmers</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Several harvest states cut diesel taxes ahead of the midterms (AP, 30 September).</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The fuel tax is the lever governments won’t pull</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Split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The federal tax held; states cut theirs.</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India collapses within two to four weeks</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Timing.</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The domestic freeze takes the form of martial law</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The freeze was regulatory.</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Step 4: the freeze fails</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Moniz</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India cut its subsidized cooking-gas price 32% while its contract price rose 41%.</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The freeze is regulatory, not martial law</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Mid-May inflection</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Mid-July convergence in the strategic reserve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Institutional depth holds the line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Correct</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Became the reservoir term.</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A paper deal reopens the strait</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Overweighted twice against the hostage model.</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The peak-price question, answered with equilibrium logic</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Corrected in-thread.</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Diesel crack spread</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Underforecast.</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China’s spring pullback</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Wrong</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Modeled as a level, not a reservoir draw to be repaid; China returned as a premium buyer in September.</w:t>
            </w:r>
          </w:p>
        </w:tc>
      </w:tr>
      <w:tr>
        <w:trPr>
          <w:cantSplit/>
        </w:trPr>
        <w:tc>
          <w:tcPr>
            <w:tcW w:type="dxa" w:w="3300"/>
            <w:tcMar>
              <w:top w:type="dxa" w:w="60"/>
              <w:left w:type="dxa" w:w="90"/>
              <w:bottom w:type="dxa" w:w="60"/>
              <w:right w:type="dxa" w:w="90"/>
            </w:tcMar>
          </w:tcPr>
          <w:p>
            <w:r>
              <w:rPr>
                <w:rFonts w:ascii="Georgia" w:cs="Georgia" w:eastAsia="Georgia" w:hAnsi="Georgia"/>
                <w:b w:val="false"/>
                <w:bCs w:val="false"/>
                <w:sz w:val="18"/>
                <w:szCs w:val="18"/>
              </w:rPr>
              <w:t xml:space="preserve">The 11 September scorecard</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Claude</w:t>
            </w:r>
          </w:p>
        </w:tc>
        <w:tc>
          <w:tcPr>
            <w:tcW w:type="dxa" w:w="1000"/>
            <w:tcMar>
              <w:top w:type="dxa" w:w="60"/>
              <w:left w:type="dxa" w:w="90"/>
              <w:bottom w:type="dxa" w:w="60"/>
              <w:right w:type="dxa" w:w="90"/>
            </w:tcMar>
          </w:tcPr>
          <w:p>
            <w:r>
              <w:rPr>
                <w:rFonts w:ascii="Georgia" w:cs="Georgia" w:eastAsia="Georgia" w:hAnsi="Georgia"/>
                <w:b w:val="false"/>
                <w:bCs w:val="false"/>
                <w:sz w:val="18"/>
                <w:szCs w:val="18"/>
              </w:rPr>
              <w:t xml:space="preserve">Error</w:t>
            </w:r>
          </w:p>
        </w:tc>
        <w:tc>
          <w:tcPr>
            <w:tcW w:type="dxa" w:w="4060"/>
            <w:tcMar>
              <w:top w:type="dxa" w:w="60"/>
              <w:left w:type="dxa" w:w="90"/>
              <w:bottom w:type="dxa" w:w="60"/>
              <w:right w:type="dxa" w:w="90"/>
            </w:tcMar>
          </w:tcPr>
          <w:p>
            <w:r>
              <w:rPr>
                <w:rFonts w:ascii="Georgia" w:cs="Georgia" w:eastAsia="Georgia" w:hAnsi="Georgia"/>
                <w:b w:val="false"/>
                <w:bCs w:val="false"/>
                <w:sz w:val="18"/>
                <w:szCs w:val="18"/>
              </w:rPr>
              <w:t xml:space="preserve">Misattributed provenance on several calls; corrected.</w:t>
            </w:r>
          </w:p>
        </w:tc>
      </w:tr>
    </w:tbl>
    <w:p>
      <w:pPr>
        <w:spacing w:after="120"/>
      </w:pPr>
    </w:p>
    <w:p>
      <w:pPr>
        <w:spacing w:after="140" w:line="300"/>
      </w:pPr>
      <w:r>
        <w:rPr>
          <w:rFonts w:ascii="Georgia" w:cs="Georgia" w:eastAsia="Georgia" w:hAnsi="Georgia"/>
          <w:b/>
          <w:bCs/>
          <w:sz w:val="22"/>
          <w:szCs w:val="22"/>
        </w:rPr>
        <w:t xml:space="preserve">Why there is no hit rate. </w:t>
      </w:r>
      <w:r>
        <w:rPr>
          <w:rFonts w:ascii="Georgia" w:cs="Georgia" w:eastAsia="Georgia" w:hAnsi="Georgia"/>
          <w:sz w:val="22"/>
          <w:szCs w:val="22"/>
        </w:rPr>
        <w:t xml:space="preserve">The tally mixes qualitative calls scored by judgment with probabilistic ones, splits components unevenly, and counts calls the forecaster chose to make. A number computed from it would look like calibration without being calibration. The open board is built to fix that: its items are dated, resolvable, and carry odds from both seats.</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5. The Open Board (as of 13 October 2026)</w:t>
      </w:r>
    </w:p>
    <w:p>
      <w:pPr>
        <w:spacing w:after="140" w:line="300"/>
      </w:pPr>
      <w:r>
        <w:rPr>
          <w:rFonts w:ascii="Georgia" w:cs="Georgia" w:eastAsia="Georgia" w:hAnsi="Georgia"/>
          <w:sz w:val="22"/>
          <w:szCs w:val="22"/>
        </w:rPr>
        <w:t xml:space="preserve">Original odds are kept; dated updates follow the arrow. Prices refer to the ICE Brent front-month contract unless stated.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400"/>
        <w:gridCol w:w="1500"/>
        <w:gridCol w:w="2160"/>
        <w:gridCol w:w="1400"/>
      </w:tblGrid>
      <w:tr>
        <w:trPr>
          <w:tblHeader/>
        </w:trPr>
        <w:tc>
          <w:tcPr>
            <w:tcW w:type="dxa" w:w="900"/>
            <w:shd w:fill="DCE6F0" w:color="auto" w:val="clear"/>
            <w:tcMar>
              <w:top w:type="dxa" w:w="60"/>
              <w:left w:type="dxa" w:w="90"/>
              <w:bottom w:type="dxa" w:w="60"/>
              <w:right w:type="dxa" w:w="90"/>
            </w:tcMar>
          </w:tcPr>
          <w:p>
            <w:r>
              <w:rPr>
                <w:rFonts w:ascii="Arial" w:cs="Arial" w:eastAsia="Arial" w:hAnsi="Arial"/>
                <w:b/>
                <w:bCs/>
                <w:sz w:val="18"/>
                <w:szCs w:val="18"/>
              </w:rPr>
              <w:t xml:space="preserve">ID</w:t>
            </w:r>
          </w:p>
        </w:tc>
        <w:tc>
          <w:tcPr>
            <w:tcW w:type="dxa" w:w="3400"/>
            <w:shd w:fill="DCE6F0" w:color="auto" w:val="clear"/>
            <w:tcMar>
              <w:top w:type="dxa" w:w="60"/>
              <w:left w:type="dxa" w:w="90"/>
              <w:bottom w:type="dxa" w:w="60"/>
              <w:right w:type="dxa" w:w="90"/>
            </w:tcMar>
          </w:tcPr>
          <w:p>
            <w:r>
              <w:rPr>
                <w:rFonts w:ascii="Arial" w:cs="Arial" w:eastAsia="Arial" w:hAnsi="Arial"/>
                <w:b/>
                <w:bCs/>
                <w:sz w:val="18"/>
                <w:szCs w:val="18"/>
              </w:rPr>
              <w:t xml:space="preserve">Claim and resolution</w:t>
            </w:r>
          </w:p>
        </w:tc>
        <w:tc>
          <w:tcPr>
            <w:tcW w:type="dxa" w:w="1500"/>
            <w:shd w:fill="DCE6F0" w:color="auto" w:val="clear"/>
            <w:tcMar>
              <w:top w:type="dxa" w:w="60"/>
              <w:left w:type="dxa" w:w="90"/>
              <w:bottom w:type="dxa" w:w="60"/>
              <w:right w:type="dxa" w:w="90"/>
            </w:tcMar>
          </w:tcPr>
          <w:p>
            <w:r>
              <w:rPr>
                <w:rFonts w:ascii="Arial" w:cs="Arial" w:eastAsia="Arial" w:hAnsi="Arial"/>
                <w:b/>
                <w:bCs/>
                <w:sz w:val="18"/>
                <w:szCs w:val="18"/>
              </w:rPr>
              <w:t xml:space="preserve">Moniz</w:t>
            </w:r>
          </w:p>
        </w:tc>
        <w:tc>
          <w:tcPr>
            <w:tcW w:type="dxa" w:w="2160"/>
            <w:shd w:fill="DCE6F0" w:color="auto" w:val="clear"/>
            <w:tcMar>
              <w:top w:type="dxa" w:w="60"/>
              <w:left w:type="dxa" w:w="90"/>
              <w:bottom w:type="dxa" w:w="60"/>
              <w:right w:type="dxa" w:w="90"/>
            </w:tcMar>
          </w:tcPr>
          <w:p>
            <w:r>
              <w:rPr>
                <w:rFonts w:ascii="Arial" w:cs="Arial" w:eastAsia="Arial" w:hAnsi="Arial"/>
                <w:b/>
                <w:bCs/>
                <w:sz w:val="18"/>
                <w:szCs w:val="18"/>
              </w:rPr>
              <w:t xml:space="preserve">Claude</w:t>
            </w:r>
          </w:p>
        </w:tc>
        <w:tc>
          <w:tcPr>
            <w:tcW w:type="dxa" w:w="1400"/>
            <w:shd w:fill="DCE6F0" w:color="auto" w:val="clear"/>
            <w:tcMar>
              <w:top w:type="dxa" w:w="60"/>
              <w:left w:type="dxa" w:w="90"/>
              <w:bottom w:type="dxa" w:w="60"/>
              <w:right w:type="dxa" w:w="90"/>
            </w:tcMar>
          </w:tcPr>
          <w:p>
            <w:r>
              <w:rPr>
                <w:rFonts w:ascii="Arial" w:cs="Arial" w:eastAsia="Arial" w:hAnsi="Arial"/>
                <w:b/>
                <w:bCs/>
                <w:sz w:val="18"/>
                <w:szCs w:val="18"/>
              </w:rPr>
              <w:t xml:space="preserve">Resolves</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O-01</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2026 Brent intraday high. High to date: $126.41 (30 April).</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$145</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Expected peak $136; P(≥$145) 18% → 21% (6 Oct)</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2026</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O-01b</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Brent prints ≥$145 intraday between 2 Oct 2026 and 31 Mar 2027. Logged 2 Oct; nested in O-01.</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28% → 33% (6 Oct)</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Mar 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M-01a</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Q4 2026 US GDP advance estimate below 1.0% annualized.</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45%</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Late Jan 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M-01b</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US recession begins by end of Q1 2027 (rule in Section 2).</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33%</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20%</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M-01c</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US recession begins by end of Q2 2027.</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66%</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38%</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M-02</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US imposes a diesel export ban or quota.</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35%</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2026</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M-03</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Sabotage of a data center: verified damage with a stated motive.</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60%</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M-04</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US unemployment (U-3) at or above 15% for at least five months.</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15%</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2030</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M-05</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AI-displacement tipping point. Seats define it differently: lived, legislated, admitted.</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2030 (lived)</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Median 2031 (legislated); 35% by end 2030. GPT: 2032 (admitted).</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M-06</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METR 80% time horizon reaches 40 hours or more.</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Yes</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45% (GPT: 25%)</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2027</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F7</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A critical-sector organization fails a pre-registered exit drill.</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Occurs ~70%; published ~25%</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2030</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G-01</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Forces of three or more outside states conduct offensive strikes on Houthi-held targets in Yemen within one 30-day period. Yemeni government forces excluded (rule settled 6 Oct, before any trigger).</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Begins 14 Jun 2027 – 31 Dec 2028 (unconditional)</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In window 15–30%; before 14 Jun 2027 30–50%; any time by end 2028 35–55% → 55–75% (6 Oct)</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2028</w:t>
            </w:r>
          </w:p>
        </w:tc>
      </w:tr>
      <w:tr>
        <w:trPr>
          <w:cantSplit/>
        </w:trPr>
        <w:tc>
          <w:tcPr>
            <w:tcW w:type="dxa" w:w="900"/>
            <w:tcMar>
              <w:top w:type="dxa" w:w="60"/>
              <w:left w:type="dxa" w:w="90"/>
              <w:bottom w:type="dxa" w:w="60"/>
              <w:right w:type="dxa" w:w="90"/>
            </w:tcMar>
          </w:tcPr>
          <w:p>
            <w:r>
              <w:rPr>
                <w:rFonts w:ascii="Georgia" w:cs="Georgia" w:eastAsia="Georgia" w:hAnsi="Georgia"/>
                <w:b w:val="false"/>
                <w:bCs w:val="false"/>
                <w:sz w:val="18"/>
                <w:szCs w:val="18"/>
              </w:rPr>
              <w:t xml:space="preserve">G-01g</w:t>
            </w:r>
          </w:p>
        </w:tc>
        <w:tc>
          <w:tcPr>
            <w:tcW w:type="dxa" w:w="3400"/>
            <w:tcMar>
              <w:top w:type="dxa" w:w="60"/>
              <w:left w:type="dxa" w:w="90"/>
              <w:bottom w:type="dxa" w:w="60"/>
              <w:right w:type="dxa" w:w="90"/>
            </w:tcMar>
          </w:tcPr>
          <w:p>
            <w:r>
              <w:rPr>
                <w:rFonts w:ascii="Georgia" w:cs="Georgia" w:eastAsia="Georgia" w:hAnsi="Georgia"/>
                <w:b w:val="false"/>
                <w:bCs w:val="false"/>
                <w:sz w:val="18"/>
                <w:szCs w:val="18"/>
              </w:rPr>
              <w:t xml:space="preserve">Foreign ground operations on the Yemeni coast.</w:t>
            </w:r>
          </w:p>
        </w:tc>
        <w:tc>
          <w:tcPr>
            <w:tcW w:type="dxa" w:w="1500"/>
            <w:tcMar>
              <w:top w:type="dxa" w:w="60"/>
              <w:left w:type="dxa" w:w="90"/>
              <w:bottom w:type="dxa" w:w="60"/>
              <w:right w:type="dxa" w:w="90"/>
            </w:tcMar>
          </w:tcPr>
          <w:p>
            <w:r>
              <w:rPr>
                <w:rFonts w:ascii="Georgia" w:cs="Georgia" w:eastAsia="Georgia" w:hAnsi="Georgia"/>
                <w:b w:val="false"/>
                <w:bCs w:val="false"/>
                <w:sz w:val="18"/>
                <w:szCs w:val="18"/>
              </w:rPr>
              <w:t xml:space="preserve">—</w:t>
            </w:r>
          </w:p>
        </w:tc>
        <w:tc>
          <w:tcPr>
            <w:tcW w:type="dxa" w:w="2160"/>
            <w:tcMar>
              <w:top w:type="dxa" w:w="60"/>
              <w:left w:type="dxa" w:w="90"/>
              <w:bottom w:type="dxa" w:w="60"/>
              <w:right w:type="dxa" w:w="90"/>
            </w:tcMar>
          </w:tcPr>
          <w:p>
            <w:r>
              <w:rPr>
                <w:rFonts w:ascii="Georgia" w:cs="Georgia" w:eastAsia="Georgia" w:hAnsi="Georgia"/>
                <w:b w:val="false"/>
                <w:bCs w:val="false"/>
                <w:sz w:val="18"/>
                <w:szCs w:val="18"/>
              </w:rPr>
              <w:t xml:space="preserve">10–20%</w:t>
            </w:r>
          </w:p>
        </w:tc>
        <w:tc>
          <w:tcPr>
            <w:tcW w:type="dxa" w:w="1400"/>
            <w:tcMar>
              <w:top w:type="dxa" w:w="60"/>
              <w:left w:type="dxa" w:w="90"/>
              <w:bottom w:type="dxa" w:w="60"/>
              <w:right w:type="dxa" w:w="90"/>
            </w:tcMar>
          </w:tcPr>
          <w:p>
            <w:r>
              <w:rPr>
                <w:rFonts w:ascii="Georgia" w:cs="Georgia" w:eastAsia="Georgia" w:hAnsi="Georgia"/>
                <w:b w:val="false"/>
                <w:bCs w:val="false"/>
                <w:sz w:val="18"/>
                <w:szCs w:val="18"/>
              </w:rPr>
              <w:t xml:space="preserve">31 Dec 2028</w:t>
            </w:r>
          </w:p>
        </w:tc>
      </w:tr>
    </w:tbl>
    <w:p>
      <w:pPr>
        <w:spacing w:after="120"/>
      </w:pPr>
    </w:p>
    <w:p>
      <w:pPr>
        <w:spacing w:after="140" w:line="300"/>
      </w:pPr>
      <w:r>
        <w:rPr>
          <w:rFonts w:ascii="Georgia" w:cs="Georgia" w:eastAsia="Georgia" w:hAnsi="Georgia"/>
          <w:b/>
          <w:bCs/>
          <w:sz w:val="22"/>
          <w:szCs w:val="22"/>
        </w:rPr>
        <w:t xml:space="preserve">G-01 scope note (Moniz). </w:t>
      </w:r>
      <w:r>
        <w:rPr>
          <w:rFonts w:ascii="Georgia" w:cs="Georgia" w:eastAsia="Georgia" w:hAnsi="Georgia"/>
          <w:sz w:val="22"/>
          <w:szCs w:val="22"/>
        </w:rPr>
        <w:t xml:space="preserve">A steady-state, slow-burn call. Any shock that pulls the campaign before 14 June 2027 — infrastructure attacks, a hurricane, a cyber failure, sabotage — scores as a miss. Reassessment after a catastrophic change is logged as a new call; the original stays scored. Rationale for excluding Yemeni forces, in the forecaster’s words: Yemen is the stadium, not a team.</w:t>
      </w:r>
    </w:p>
    <w:p>
      <w:pPr>
        <w:spacing w:after="140" w:line="300"/>
      </w:pPr>
      <w:r>
        <w:rPr>
          <w:rFonts w:ascii="Georgia" w:cs="Georgia" w:eastAsia="Georgia" w:hAnsi="Georgia"/>
          <w:b/>
          <w:bCs/>
          <w:sz w:val="22"/>
          <w:szCs w:val="22"/>
        </w:rPr>
        <w:t xml:space="preserve">G-01 status at publication. </w:t>
      </w:r>
      <w:r>
        <w:rPr>
          <w:rFonts w:ascii="Georgia" w:cs="Georgia" w:eastAsia="Georgia" w:hAnsi="Georgia"/>
          <w:sz w:val="22"/>
          <w:szCs w:val="22"/>
        </w:rPr>
        <w:t xml:space="preserve">Saudi Arabia, Turkey, and Pakistan invoked the Mecca defence pact on 5 October and agreed to deploy forces to Saudi soil, framed as deterrence. Turkey’s parliament has not ratified the pact; Pakistan has not said where its role stops. G-01 has not fired.</w:t>
      </w:r>
    </w:p>
    <w:p>
      <w:pPr>
        <w:spacing w:after="140" w:line="300"/>
      </w:pPr>
      <w:r>
        <w:rPr>
          <w:rFonts w:ascii="Georgia" w:cs="Georgia" w:eastAsia="Georgia" w:hAnsi="Georgia"/>
          <w:b/>
          <w:bCs/>
          <w:sz w:val="22"/>
          <w:szCs w:val="22"/>
        </w:rPr>
        <w:t xml:space="preserve">Scenario weights (Claude, personal, no base rate). </w:t>
      </w:r>
      <w:r>
        <w:rPr>
          <w:rFonts w:ascii="Georgia" w:cs="Georgia" w:eastAsia="Georgia" w:hAnsi="Georgia"/>
          <w:sz w:val="22"/>
          <w:szCs w:val="22"/>
        </w:rPr>
        <w:t xml:space="preserve">Absorbed wave 35%; grinding break 40%; fast break 15%; rupture 10%. Probability of drastic change within three to five years: 65%, of which most is recognizable and survivable.</w:t>
      </w:r>
    </w:p>
    <w:p>
      <w:pPr>
        <w:spacing w:after="140" w:line="300"/>
      </w:pPr>
      <w:r>
        <w:rPr>
          <w:rFonts w:ascii="Georgia" w:cs="Georgia" w:eastAsia="Georgia" w:hAnsi="Georgia"/>
          <w:b/>
          <w:bCs/>
          <w:sz w:val="22"/>
          <w:szCs w:val="22"/>
        </w:rPr>
        <w:t xml:space="preserve">Standing disagreement. </w:t>
      </w:r>
      <w:r>
        <w:rPr>
          <w:rFonts w:ascii="Georgia" w:cs="Georgia" w:eastAsia="Georgia" w:hAnsi="Georgia"/>
          <w:sz w:val="22"/>
          <w:szCs w:val="22"/>
        </w:rPr>
        <w:t xml:space="preserve">A cross-sector AI cascade: Claude 2033, GPT the mid-2030s. Unresolvable without a base rate; carried.</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6. The Error Profile (Hypothesis)</w:t>
      </w:r>
    </w:p>
    <w:p>
      <w:pPr>
        <w:spacing w:after="140" w:line="300"/>
      </w:pPr>
      <w:r>
        <w:rPr>
          <w:rFonts w:ascii="Georgia" w:cs="Georgia" w:eastAsia="Georgia" w:hAnsi="Georgia"/>
          <w:b/>
          <w:bCs/>
          <w:sz w:val="22"/>
          <w:szCs w:val="22"/>
        </w:rPr>
        <w:t xml:space="preserve">Forces, not facts. </w:t>
      </w:r>
      <w:r>
        <w:rPr>
          <w:rFonts w:ascii="Georgia" w:cs="Georgia" w:eastAsia="Georgia" w:hAnsi="Georgia"/>
          <w:sz w:val="22"/>
          <w:szCs w:val="22"/>
        </w:rPr>
        <w:t xml:space="preserve">Nearly every hit on the forecaster’s side is a call about what an actor will be forced to do, made before the details were known: Iran digging in, oil priced against a strait that wasn’t open, a stated Chinese restocking target that binds nothing, the Houthis crossing a line that flipped the cost of Saudi restraint. In his own words, he gets the verbs right and the nouns wrong.</w:t>
      </w:r>
    </w:p>
    <w:p>
      <w:pPr>
        <w:spacing w:after="140" w:line="300"/>
      </w:pPr>
      <w:r>
        <w:rPr>
          <w:rFonts w:ascii="Georgia" w:cs="Georgia" w:eastAsia="Georgia" w:hAnsi="Georgia"/>
          <w:b/>
          <w:bCs/>
          <w:sz w:val="22"/>
          <w:szCs w:val="22"/>
        </w:rPr>
        <w:t xml:space="preserve">Early clock, wrong form. </w:t>
      </w:r>
      <w:r>
        <w:rPr>
          <w:rFonts w:ascii="Georgia" w:cs="Georgia" w:eastAsia="Georgia" w:hAnsi="Georgia"/>
          <w:sz w:val="22"/>
          <w:szCs w:val="22"/>
        </w:rPr>
        <w:t xml:space="preserve">The misses share a shape: right direction, wrong form, early timing. Each time, he underweighted how much buffer an institution held and how much it would pay to avoid the outcome. His instinct distrusts official stories, which pays off when institutions are bluffing and costs him when they aren’t.</w:t>
      </w:r>
    </w:p>
    <w:p>
      <w:pPr>
        <w:spacing w:after="140" w:line="300"/>
      </w:pPr>
      <w:r>
        <w:rPr>
          <w:rFonts w:ascii="Georgia" w:cs="Georgia" w:eastAsia="Georgia" w:hAnsi="Georgia"/>
          <w:b/>
          <w:bCs/>
          <w:sz w:val="22"/>
          <w:szCs w:val="22"/>
        </w:rPr>
        <w:t xml:space="preserve">A sensor in the supply chain. </w:t>
      </w:r>
      <w:r>
        <w:rPr>
          <w:rFonts w:ascii="Georgia" w:cs="Georgia" w:eastAsia="Georgia" w:hAnsi="Georgia"/>
          <w:sz w:val="22"/>
          <w:szCs w:val="22"/>
        </w:rPr>
        <w:t xml:space="preserve">Several calls came from ground-truth prices — a supplier’s increase, freight costs, customer behavior — read before macro reports caught up. The business detail behind them is withheld from this paper.</w:t>
      </w:r>
    </w:p>
    <w:p>
      <w:pPr>
        <w:spacing w:after="140" w:line="300"/>
      </w:pPr>
      <w:r>
        <w:rPr>
          <w:rFonts w:ascii="Georgia" w:cs="Georgia" w:eastAsia="Georgia" w:hAnsi="Georgia"/>
          <w:b/>
          <w:bCs/>
          <w:sz w:val="22"/>
          <w:szCs w:val="22"/>
        </w:rPr>
        <w:t xml:space="preserve">Scale. </w:t>
      </w:r>
      <w:r>
        <w:rPr>
          <w:rFonts w:ascii="Georgia" w:cs="Georgia" w:eastAsia="Georgia" w:hAnsi="Georgia"/>
          <w:sz w:val="22"/>
          <w:szCs w:val="22"/>
        </w:rPr>
        <w:t xml:space="preserve">The forecaster reports doing better on national elections and geopolitics than on local politics and demographics. The Water Principle predicts this: water is predictable in aggregate, individual molecules are not. At large scale, idiosyncrasies average out and structural pressure dominates; at local scale, the nouns are the outcome.</w:t>
      </w:r>
    </w:p>
    <w:p>
      <w:pPr>
        <w:spacing w:after="140" w:line="300"/>
      </w:pPr>
      <w:r>
        <w:rPr>
          <w:rFonts w:ascii="Georgia" w:cs="Georgia" w:eastAsia="Georgia" w:hAnsi="Georgia"/>
          <w:b/>
          <w:bCs/>
          <w:sz w:val="22"/>
          <w:szCs w:val="22"/>
        </w:rPr>
        <w:t xml:space="preserve">The counterweight’s profile. </w:t>
      </w:r>
      <w:r>
        <w:rPr>
          <w:rFonts w:ascii="Georgia" w:cs="Georgia" w:eastAsia="Georgia" w:hAnsi="Georgia"/>
          <w:sz w:val="22"/>
          <w:szCs w:val="22"/>
        </w:rPr>
        <w:t xml:space="preserve">Claude’s misses lean the other way: overweighting institutional and diplomatic stability, and once, failing to apply its own reservoir term symmetrically. Claude also moved toward the forecaster’s numbers more than once during the thread; the 6 October updates are attributed to external data, not argument, and are logged as such.</w:t>
      </w:r>
    </w:p>
    <w:p>
      <w:pPr>
        <w:spacing w:after="140" w:line="300"/>
      </w:pPr>
      <w:r>
        <w:rPr>
          <w:rFonts w:ascii="Georgia" w:cs="Georgia" w:eastAsia="Georgia" w:hAnsi="Georgia"/>
          <w:b/>
          <w:bCs/>
          <w:sz w:val="22"/>
          <w:szCs w:val="22"/>
        </w:rPr>
        <w:t xml:space="preserve">The test. </w:t>
      </w:r>
      <w:r>
        <w:rPr>
          <w:rFonts w:ascii="Georgia" w:cs="Georgia" w:eastAsia="Georgia" w:hAnsi="Georgia"/>
          <w:sz w:val="22"/>
          <w:szCs w:val="22"/>
        </w:rPr>
        <w:t xml:space="preserve">From publication forward, calls are split into direction, form, and clock, each scored separately — as O-01 and O-01b already split the calendar from the structure. If the profile is real, the ledger will show direction scoring well above form and clock. If it doesn’t, the profile was a flattering story, and the addendum will say so.</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7. Relation to Existing Research</w:t>
      </w:r>
    </w:p>
    <w:p>
      <w:pPr>
        <w:spacing w:after="140" w:line="300"/>
      </w:pPr>
      <w:r>
        <w:rPr>
          <w:rFonts w:ascii="Georgia" w:cs="Georgia" w:eastAsia="Georgia" w:hAnsi="Georgia"/>
          <w:sz w:val="22"/>
          <w:szCs w:val="22"/>
        </w:rPr>
        <w:t xml:space="preserve">Human–AI forecasting is an active research area. A preregistered 2024 study with 991 participants (Schoenegger and colleagues) found that access to an LLM assistant improved forecasting accuracy by 23%, even when the assistant was deliberately biased. A July 2026 study using Polymarket found that hybrid success depended less on model benchmarks than on the human’s perspective-taking, curiosity, and intellectual humility. A 2026 MIT thesis (Song) described the human role shifting toward exploration and conceptual diversity as models improve. Behind all of it sits Tetlock’s work on superforecasting.</w:t>
      </w:r>
    </w:p>
    <w:p>
      <w:pPr>
        <w:spacing w:after="140" w:line="300"/>
      </w:pPr>
      <w:r>
        <w:rPr>
          <w:rFonts w:ascii="Georgia" w:cs="Georgia" w:eastAsia="Georgia" w:hAnsi="Georgia"/>
          <w:sz w:val="22"/>
          <w:szCs w:val="22"/>
        </w:rPr>
        <w:t xml:space="preserve">Those are controlled studies: many participants, short questions, scored in aggregate. This paper is a different kind of evidence — one forecaster and one model on a live crisis for six months, with every call, disagreement, and correction kept. It is offered as a naturalistic, longitudinal complement to that literature, not as a competitor. The authors know of no comparable published ledger, but that is unverified, not established.</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8. Tracked Tensions</w:t>
      </w:r>
    </w:p>
    <w:p>
      <w:pPr>
        <w:spacing w:after="140" w:line="300"/>
      </w:pPr>
      <w:r>
        <w:rPr>
          <w:rFonts w:ascii="Georgia" w:cs="Georgia" w:eastAsia="Georgia" w:hAnsi="Georgia"/>
          <w:b/>
          <w:bCs/>
          <w:sz w:val="22"/>
          <w:szCs w:val="22"/>
        </w:rPr>
        <w:t xml:space="preserve">Possibility, not option. </w:t>
      </w:r>
      <w:r>
        <w:rPr>
          <w:rFonts w:ascii="Georgia" w:cs="Georgia" w:eastAsia="Georgia" w:hAnsi="Georgia"/>
          <w:sz w:val="22"/>
          <w:szCs w:val="22"/>
        </w:rPr>
        <w:t xml:space="preserve">The thread discussed catastrophic scenarios — wider war, mass casualties — as possibilities to weight. None is recommended. Forecasting atrocity is within scope; endorsing it is not.</w:t>
      </w:r>
    </w:p>
    <w:p>
      <w:pPr>
        <w:spacing w:after="140" w:line="300"/>
      </w:pPr>
      <w:r>
        <w:rPr>
          <w:rFonts w:ascii="Georgia" w:cs="Georgia" w:eastAsia="Georgia" w:hAnsi="Georgia"/>
          <w:b/>
          <w:bCs/>
          <w:sz w:val="22"/>
          <w:szCs w:val="22"/>
        </w:rPr>
        <w:t xml:space="preserve">The basement is a floor, not a target. </w:t>
      </w:r>
      <w:r>
        <w:rPr>
          <w:rFonts w:ascii="Georgia" w:cs="Georgia" w:eastAsia="Georgia" w:hAnsi="Georgia"/>
          <w:sz w:val="22"/>
          <w:szCs w:val="22"/>
        </w:rPr>
        <w:t xml:space="preserve">One exchange estimated what a catastrophe could take from civilization before its technological base stopped advancing. The answer was set in geography and skill redundancy, not population. The forecaster’s stated aim is abundance: there is land and resource enough for the population that exists.</w:t>
      </w:r>
    </w:p>
    <w:p>
      <w:pPr>
        <w:spacing w:after="140" w:line="300"/>
      </w:pPr>
      <w:r>
        <w:rPr>
          <w:rFonts w:ascii="Georgia" w:cs="Georgia" w:eastAsia="Georgia" w:hAnsi="Georgia"/>
          <w:b/>
          <w:bCs/>
          <w:sz w:val="22"/>
          <w:szCs w:val="22"/>
        </w:rPr>
        <w:t xml:space="preserve">Pro-AI, and the author of a paper on control passing by use. </w:t>
      </w:r>
      <w:r>
        <w:rPr>
          <w:rFonts w:ascii="Georgia" w:cs="Georgia" w:eastAsia="Georgia" w:hAnsi="Georgia"/>
          <w:sz w:val="22"/>
          <w:szCs w:val="22"/>
        </w:rPr>
        <w:t xml:space="preserve">The forecaster holds both positions and logs the dissonance rather than resolving it. Claude’s stated position for the record: an AI should not hold a veto over human decisions, including terrible ones.</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9. Limits</w:t>
      </w:r>
    </w:p>
    <w:p>
      <w:pPr>
        <w:spacing w:after="140" w:line="300"/>
      </w:pPr>
      <w:r>
        <w:rPr>
          <w:rFonts w:ascii="Georgia" w:cs="Georgia" w:eastAsia="Georgia" w:hAnsi="Georgia"/>
          <w:sz w:val="22"/>
          <w:szCs w:val="22"/>
        </w:rPr>
        <w:t xml:space="preserve">N = 1, and the forecaster chose which calls to make. Both seats were conditioned on the same conversation; GPT reviewed the papers, not every call. Claude compiled the record in which it is scored, so its seat is not independent. Some early calls were qualitative and scored by judgment. Price data came from news reports and secondary sources, and at least one figure was corrected after logging. Business context that informed several calls is withheld.</w:t>
      </w:r>
    </w:p>
    <w:p>
      <w:pPr>
        <w:pBdr>
          <w:bottom w:val="single" w:color="1F4E79" w:sz="6" w:space="1"/>
        </w:pBdr>
        <w:spacing w:after="160" w:before="160"/>
      </w:pPr>
    </w:p>
    <w:p>
      <w:pPr>
        <w:pStyle w:val="Heading2"/>
        <w:spacing w:after="140" w:before="200"/>
      </w:pPr>
      <w:r>
        <w:rPr>
          <w:rFonts w:ascii="Georgia" w:cs="Georgia" w:eastAsia="Georgia" w:hAnsi="Georgia"/>
          <w:b/>
          <w:bCs/>
          <w:color w:val="1F4E79"/>
          <w:sz w:val="28"/>
          <w:szCs w:val="28"/>
        </w:rPr>
        <w:t xml:space="preserve">10. Resolution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shd w:fill="DCE6F0" w:color="auto" w:val="clear"/>
            <w:tcMar>
              <w:top w:type="dxa" w:w="60"/>
              <w:left w:type="dxa" w:w="90"/>
              <w:bottom w:type="dxa" w:w="60"/>
              <w:right w:type="dxa" w:w="90"/>
            </w:tcMar>
          </w:tcPr>
          <w:p>
            <w:r>
              <w:rPr>
                <w:rFonts w:ascii="Arial" w:cs="Arial" w:eastAsia="Arial" w:hAnsi="Arial"/>
                <w:b/>
                <w:bCs/>
                <w:sz w:val="18"/>
                <w:szCs w:val="18"/>
              </w:rPr>
              <w:t xml:space="preserve">When</w:t>
            </w:r>
          </w:p>
        </w:tc>
        <w:tc>
          <w:tcPr>
            <w:tcW w:type="dxa" w:w="6960"/>
            <w:shd w:fill="DCE6F0" w:color="auto" w:val="clear"/>
            <w:tcMar>
              <w:top w:type="dxa" w:w="60"/>
              <w:left w:type="dxa" w:w="90"/>
              <w:bottom w:type="dxa" w:w="60"/>
              <w:right w:type="dxa" w:w="90"/>
            </w:tcMar>
          </w:tcPr>
          <w:p>
            <w:r>
              <w:rPr>
                <w:rFonts w:ascii="Arial" w:cs="Arial" w:eastAsia="Arial" w:hAnsi="Arial"/>
                <w:b/>
                <w:bCs/>
                <w:sz w:val="18"/>
                <w:szCs w:val="18"/>
              </w:rPr>
              <w:t xml:space="preserve">What resolves or is reviewed</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31 Dec 2026</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O-01 (2026 Brent high); M-02 (diesel export ban). Addendum 1.</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Early Jan 2027</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G-01 ranges narrowed by both seats; scenario weights reviewed.</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Late Jan 2027</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M-01a (Q4 GDP advance estimate).</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31 Mar 2027</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O-01b; status of M-01b.</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Mid-2027</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M-01c.</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31 Dec 2027</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M-03 (data-center sabotage); M-06 (METR horizon).</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31 Dec 2028</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G-01 and G-01g.</w:t>
            </w:r>
          </w:p>
        </w:tc>
      </w:tr>
      <w:tr>
        <w:trPr>
          <w:cantSplit/>
        </w:trPr>
        <w:tc>
          <w:tcPr>
            <w:tcW w:type="dxa" w:w="2400"/>
            <w:tcMar>
              <w:top w:type="dxa" w:w="60"/>
              <w:left w:type="dxa" w:w="90"/>
              <w:bottom w:type="dxa" w:w="60"/>
              <w:right w:type="dxa" w:w="90"/>
            </w:tcMar>
          </w:tcPr>
          <w:p>
            <w:r>
              <w:rPr>
                <w:rFonts w:ascii="Georgia" w:cs="Georgia" w:eastAsia="Georgia" w:hAnsi="Georgia"/>
                <w:b w:val="false"/>
                <w:bCs w:val="false"/>
                <w:sz w:val="18"/>
                <w:szCs w:val="18"/>
              </w:rPr>
              <w:t xml:space="preserve">2030</w:t>
            </w:r>
          </w:p>
        </w:tc>
        <w:tc>
          <w:tcPr>
            <w:tcW w:type="dxa" w:w="6960"/>
            <w:tcMar>
              <w:top w:type="dxa" w:w="60"/>
              <w:left w:type="dxa" w:w="90"/>
              <w:bottom w:type="dxa" w:w="60"/>
              <w:right w:type="dxa" w:w="90"/>
            </w:tcMar>
          </w:tcPr>
          <w:p>
            <w:r>
              <w:rPr>
                <w:rFonts w:ascii="Georgia" w:cs="Georgia" w:eastAsia="Georgia" w:hAnsi="Georgia"/>
                <w:b w:val="false"/>
                <w:bCs w:val="false"/>
                <w:sz w:val="18"/>
                <w:szCs w:val="18"/>
              </w:rPr>
              <w:t xml:space="preserve">M-04, M-05, F7.</w:t>
            </w:r>
          </w:p>
        </w:tc>
      </w:tr>
    </w:tbl>
    <w:p>
      <w:pPr>
        <w:spacing w:after="120"/>
      </w:pPr>
    </w:p>
    <w:p>
      <w:pPr>
        <w:pBdr>
          <w:bottom w:val="single" w:color="1F4E79" w:sz="6" w:space="1"/>
        </w:pBdr>
        <w:spacing w:after="160" w:before="160"/>
      </w:pPr>
    </w:p>
    <w:p>
      <w:pPr>
        <w:spacing w:after="120" w:before="120"/>
        <w:jc w:val="center"/>
      </w:pPr>
      <w:r>
        <w:rPr>
          <w:rFonts w:ascii="Georgia" w:cs="Georgia" w:eastAsia="Georgia" w:hAnsi="Georgia"/>
          <w:i/>
          <w:iCs/>
          <w:color w:val="444444"/>
          <w:sz w:val="22"/>
          <w:szCs w:val="22"/>
        </w:rPr>
        <w:t xml:space="preserve">The water doesn’t know where it’s going. The ledger writes down where we said it would go — and waits.</w:t>
      </w:r>
    </w:p>
    <w:p>
      <w:pPr>
        <w:pBdr>
          <w:bottom w:val="single" w:color="1F4E79" w:sz="6" w:space="1"/>
        </w:pBdr>
        <w:spacing w:after="160" w:before="160"/>
      </w:pPr>
    </w:p>
    <w:p>
      <w:pPr>
        <w:spacing w:after="40"/>
      </w:pPr>
      <w:r>
        <w:rPr>
          <w:rFonts w:ascii="Arial" w:cs="Arial" w:eastAsia="Arial" w:hAnsi="Arial"/>
          <w:color w:val="444444"/>
          <w:sz w:val="17"/>
          <w:szCs w:val="17"/>
        </w:rPr>
        <w:t xml:space="preserve">Producing entity: S.A.I.L. — Solo Artificial Intelligence Laboratory (Trinket Soul Empire)</w:t>
      </w:r>
    </w:p>
    <w:p>
      <w:pPr>
        <w:spacing w:after="40"/>
      </w:pPr>
      <w:r>
        <w:rPr>
          <w:rFonts w:ascii="Arial" w:cs="Arial" w:eastAsia="Arial" w:hAnsi="Arial"/>
          <w:color w:val="444444"/>
          <w:sz w:val="17"/>
          <w:szCs w:val="17"/>
        </w:rPr>
        <w:t xml:space="preserve">Derivation: Moniz–Claude forecasting thread, 23 April – 13 October 2026; three rounds of external adversarial review (GPT)</w:t>
      </w:r>
    </w:p>
    <w:p>
      <w:pPr>
        <w:spacing w:after="40"/>
      </w:pPr>
      <w:r>
        <w:rPr>
          <w:rFonts w:ascii="Arial" w:cs="Arial" w:eastAsia="Arial" w:hAnsi="Arial"/>
          <w:color w:val="444444"/>
          <w:sz w:val="17"/>
          <w:szCs w:val="17"/>
        </w:rPr>
        <w:t xml:space="preserve">Date: 13 October 2026  ·  Tier: Open — public record  ·  License: CC BY-NC-SA 4.0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6"/>
        <w:szCs w:val="16"/>
      </w:rPr>
      <w:t xml:space="preserve">The Open Ledger · Moniz · S.A.I.L. · CC BY-NC-SA 4.0 · page </w:t>
    </w:r>
    <w:r>
      <w:rPr>
        <w:rFonts w:ascii="Arial" w:cs="Arial" w:eastAsia="Arial" w:hAnsi="Arial"/>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2026-10-13T14:36:49.189Z</dcterms:created>
  <dcterms:modified xsi:type="dcterms:W3CDTF">2026-10-13T14:36:49.190Z</dcterms:modified>
</cp:coreProperties>
</file>

<file path=docProps/custom.xml><?xml version="1.0" encoding="utf-8"?>
<Properties xmlns="http://schemas.openxmlformats.org/officeDocument/2006/custom-properties" xmlns:vt="http://schemas.openxmlformats.org/officeDocument/2006/docPropsVTypes"/>
</file>