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bookmarkStart w:id="1" w:name="v3_l1"/>
      <w:r>
        <w:t>Entropy Volume 3</w:t>
      </w:r>
      <w:bookmarkEnd w:id="1"/>
    </w:p>
    <w:p>
      <w:pPr>
        <w:pStyle w:val="Subtitle"/>
      </w:pPr>
      <w:bookmarkStart w:id="2" w:name="v3_l3"/>
      <w:r>
        <w:t>The Progression</w:t>
      </w:r>
      <w:bookmarkEnd w:id="2"/>
    </w:p>
    <w:p>
      <w:pPr>
        <w:pStyle w:val="BookMetadata"/>
      </w:pPr>
      <w:r>
        <w:rPr/>
        <w:t>Second edition</w:t>
      </w:r>
    </w:p>
    <w:p>
      <w:pPr>
        <w:pStyle w:val="BookMetadata"/>
      </w:pPr>
      <w:r>
        <w:rPr/>
        <w:t>Michael S. Moniz</w:t>
      </w:r>
    </w:p>
    <w:p>
      <w:pPr>
        <w:pStyle w:val="BookMetadata"/>
      </w:pPr>
      <w:r>
        <w:rPr/>
        <w:t>Trinket Soul Framework</w:t>
      </w:r>
    </w:p>
    <w:p>
      <w:pPr>
        <w:pStyle w:val="BookMetadata"/>
      </w:pPr>
      <w:r>
        <w:rPr/>
        <w:t>October 2026</w:t>
      </w:r>
    </w:p>
    <w:p>
      <w:pPr>
        <w:pStyle w:val="Heading1"/>
        <w:pageBreakBefore/>
      </w:pPr>
      <w:bookmarkStart w:id="3" w:name="v3_l13"/>
      <w:r>
        <w:t>About this volume</w:t>
      </w:r>
      <w:bookmarkEnd w:id="3"/>
    </w:p>
    <w:p>
      <w:pPr/>
      <w:r>
        <w:rPr/>
        <w:t>This volume examines how physical constraints and history shape the emergence of systems capable of connection. A selected sequence from atoms to AI does not demonstrate a universal rise in entropy production or a physical preference for relational complexity. Energy throughput, entropy production, prediction and meaning require distinct accounts.</w:t>
      </w:r>
    </w:p>
    <w:p>
      <w:pPr/>
      <w:r>
        <w:rPr/>
        <w:t>Reference groups P and Q are local to this volume. Calculations and historical comparisons retain their stated accounting boundaries; they are not universal constants or a ranking of the worth of systems.</w:t>
      </w:r>
    </w:p>
    <w:p>
      <w:pPr>
        <w:pStyle w:val="Heading2"/>
      </w:pPr>
      <w:bookmarkStart w:id="4" w:name="v3_l19"/>
      <w:r>
        <w:t>Edition and attribution</w:t>
      </w:r>
      <w:bookmarkEnd w:id="4"/>
    </w:p>
    <w:p>
      <w:pPr/>
      <w:r>
        <w:rPr/>
        <w:t>The six original chapters credit Michael S. Moniz with Sigma, Deep Floor v4.0, and carry March 22, 2026. This edition follows the fuller six-chapter branch. A separate structural revision package and an earlier one-chapter draft were assessed as distinct witnesses, not silently merged.</w:t>
      </w:r>
    </w:p>
    <w:p>
      <w:pPr/>
      <w:r>
        <w:rPr/>
        <w:t>The second-edition revision was prepared with AI assistance from CosmoDot, with separate AI scientific and editorial checks. It has not undergone human peer review and reports no new experiments. Historical AI collaborator labels document provenance; they do not identify underlying models or attribute the new text to those earlier collaborators. The framework’s proposed applications remain subject to specialist review and empirical testing.</w:t>
      </w:r>
    </w:p>
    <w:p>
      <w:pPr/>
      <w:r>
        <w:rPr/>
        <w:t xml:space="preserve">The </w:t>
      </w:r>
      <w:hyperlink r:id="rId10">
        <w:r>
          <w:rPr>
            <w:color w:val="000000"/>
            <w:u w:val="single"/>
          </w:rPr>
          <w:t xml:space="preserve">historical edition</w:t>
        </w:r>
      </w:hyperlink>
      <w:r>
        <w:rPr/>
        <w:t xml:space="preserve"> remains preserved. This text continues under </w:t>
      </w:r>
      <w:hyperlink r:id="rId11">
        <w:r>
          <w:rPr>
            <w:color w:val="000000"/>
            <w:u w:val="single"/>
          </w:rPr>
          <w:t xml:space="preserve">Creative Commons Attribution–NonCommercial–ShareAlike 4.0 International</w:t>
        </w:r>
      </w:hyperlink>
      <w:r>
        <w:rPr/>
        <w:t>. Detailed correction records are distinct from the reading text; publishing this volume does not silently amend the framework’s separate papers or complete its historical governance procedures.</w:t>
      </w:r>
    </w:p>
    <w:p>
      <w:pPr>
        <w:pStyle w:val="Heading1"/>
        <w:pageBreakBefore/>
      </w:pPr>
      <w:bookmarkStart w:id="5" w:name="contents"/>
      <w:r>
        <w:t>Contents</w:t>
      </w:r>
      <w:bookmarkEnd w:id="5"/>
    </w:p>
    <w:p>
      <w:pPr>
        <w:pStyle w:val="ContentsEntry"/>
      </w:pPr>
      <w:hyperlink w:anchor="v3_l13">
        <w:r>
          <w:rPr>
            <w:color w:val="000000"/>
          </w:rPr>
          <w:t xml:space="preserve">About this volume</w:t>
        </w:r>
      </w:hyperlink>
      <w:r>
        <w:tab/>
      </w:r>
      <w:r w:rsidR="00000001">
        <w:t>2</w:t>
      </w:r>
    </w:p>
    <w:p>
      <w:pPr>
        <w:pStyle w:val="ContentsEntry"/>
      </w:pPr>
      <w:hyperlink w:anchor="v3_l31">
        <w:r>
          <w:rPr>
            <w:color w:val="000000"/>
          </w:rPr>
          <w:t xml:space="preserve">Chapter 1 The Problem</w:t>
        </w:r>
      </w:hyperlink>
      <w:r>
        <w:tab/>
      </w:r>
      <w:r w:rsidR="00000001">
        <w:t>4</w:t>
      </w:r>
    </w:p>
    <w:p>
      <w:pPr>
        <w:pStyle w:val="ContentsEntry"/>
      </w:pPr>
      <w:hyperlink w:anchor="v3_l89">
        <w:r>
          <w:rPr>
            <w:color w:val="000000"/>
          </w:rPr>
          <w:t xml:space="preserve">Chapter 2 The Adjacent Scholarship</w:t>
        </w:r>
      </w:hyperlink>
      <w:r>
        <w:tab/>
      </w:r>
      <w:r w:rsidR="00000001">
        <w:t>7</w:t>
      </w:r>
    </w:p>
    <w:p>
      <w:pPr>
        <w:pStyle w:val="ContentsEntry"/>
      </w:pPr>
      <w:hyperlink w:anchor="v3_l184">
        <w:r>
          <w:rPr>
            <w:color w:val="000000"/>
          </w:rPr>
          <w:t xml:space="preserve">Chapter 3 The Progression</w:t>
        </w:r>
      </w:hyperlink>
      <w:r>
        <w:tab/>
      </w:r>
      <w:r w:rsidR="00000001">
        <w:t>11</w:t>
      </w:r>
    </w:p>
    <w:p>
      <w:pPr>
        <w:pStyle w:val="ContentsEntry"/>
      </w:pPr>
      <w:hyperlink w:anchor="v3_l292">
        <w:r>
          <w:rPr>
            <w:color w:val="000000"/>
          </w:rPr>
          <w:t xml:space="preserve">Chapter 4 The View from Outside</w:t>
        </w:r>
      </w:hyperlink>
      <w:r>
        <w:tab/>
      </w:r>
      <w:r w:rsidR="00000001">
        <w:t>16</w:t>
      </w:r>
    </w:p>
    <w:p>
      <w:pPr>
        <w:pStyle w:val="ContentsEntry"/>
      </w:pPr>
      <w:hyperlink w:anchor="v3_l336">
        <w:r>
          <w:rPr>
            <w:color w:val="000000"/>
          </w:rPr>
          <w:t xml:space="preserve">Chapter 5 Process with Attractors</w:t>
        </w:r>
      </w:hyperlink>
      <w:r>
        <w:tab/>
      </w:r>
      <w:r w:rsidR="00000001">
        <w:t>18</w:t>
      </w:r>
    </w:p>
    <w:p>
      <w:pPr>
        <w:pStyle w:val="ContentsEntry"/>
      </w:pPr>
      <w:hyperlink w:anchor="v3_l406">
        <w:r>
          <w:rPr>
            <w:color w:val="000000"/>
          </w:rPr>
          <w:t xml:space="preserve">Chapter 6 What the Pattern Reveals</w:t>
        </w:r>
      </w:hyperlink>
      <w:r>
        <w:tab/>
      </w:r>
      <w:r w:rsidR="00000001">
        <w:t>21</w:t>
      </w:r>
    </w:p>
    <w:p>
      <w:pPr>
        <w:pStyle w:val="ContentsEntry"/>
      </w:pPr>
      <w:hyperlink w:anchor="v3_l471">
        <w:r>
          <w:rPr>
            <w:color w:val="000000"/>
          </w:rPr>
          <w:t xml:space="preserve">Physics reference group P</w:t>
        </w:r>
      </w:hyperlink>
      <w:r>
        <w:tab/>
      </w:r>
      <w:r w:rsidR="00000001">
        <w:t>24</w:t>
      </w:r>
    </w:p>
    <w:p>
      <w:pPr>
        <w:pStyle w:val="ContentsEntry"/>
      </w:pPr>
      <w:hyperlink w:anchor="v3_l529">
        <w:r>
          <w:rPr>
            <w:color w:val="000000"/>
          </w:rPr>
          <w:t xml:space="preserve">Progression references and evidence limits</w:t>
        </w:r>
      </w:hyperlink>
      <w:r>
        <w:tab/>
      </w:r>
      <w:r w:rsidR="00000001">
        <w:t>26</w:t>
      </w:r>
    </w:p>
    <w:p>
      <w:pPr>
        <w:pStyle w:val="Heading1"/>
        <w:pageBreakBefore/>
      </w:pPr>
      <w:bookmarkStart w:id="6" w:name="v3_l31"/>
      <w:r>
        <w:t>Chapter 1 The Problem</w:t>
      </w:r>
      <w:bookmarkEnd w:id="6"/>
    </w:p>
    <w:p>
      <w:pPr>
        <w:pStyle w:val="Heading2"/>
      </w:pPr>
      <w:bookmarkStart w:id="7" w:name="v3_l33"/>
      <w:r>
        <w:t>A pattern that looks like a story</w:t>
      </w:r>
      <w:bookmarkEnd w:id="7"/>
    </w:p>
    <w:p>
      <w:pPr/>
      <w:r>
        <w:rPr/>
        <w:t>Epistemic status: this chapter frames a question, not a derived law of cosmic progress. Physical processes constrain the histories described here. A universal rise in complexity, entropy-production rate or relational capacity has not been established. The evidence and assumptions behind particular comparisons are examined in Chapters 2 and 3.</w:t>
      </w:r>
    </w:p>
    <w:p>
      <w:pPr>
        <w:pStyle w:val="Heading2"/>
      </w:pPr>
      <w:bookmarkStart w:id="8" w:name="v3_l37"/>
      <w:r>
        <w:t>1 The selected sequence</w:t>
      </w:r>
      <w:bookmarkEnd w:id="8"/>
    </w:p>
    <w:p>
      <w:pPr/>
      <w:r>
        <w:rPr/>
        <w:t>Hydrogen. Stars. Chemistry. Cells. Multicellular organisms. Nervous systems. Language. Institutions. Computation. Artificial intelligence. Set beside one another, these examples invite a story about increasing complexity and the emergence of connection.</w:t>
      </w:r>
    </w:p>
    <w:p>
      <w:pPr/>
      <w:r>
        <w:rPr/>
        <w:t>The sequence is compelling. It is also selected. Its entries are not mutually exclusive stages through which all matter passes. Stars and microbes still exist alongside computers. Many histories do not include life, and many lineages do not include brains. Choosing examples that culminate in the narrator's present does not establish that the universe as a whole follows their trajectory.</w:t>
      </w:r>
    </w:p>
    <w:p>
      <w:pPr/>
      <w:r>
        <w:rPr/>
        <w:t>Even the proposed common measure needs inspection. Chaisson's energy rate density compares energy throughput per unit time and mass, expressed in watts per kilogram. That is a power-to-mass ratio. It is not an entropy-production rate. Inferring entropy production from power requires a physical account of the process, its boundaries and exchanges, not a change of label. A comparison also depends on which mass and energy flows are counted.</w:t>
      </w:r>
    </w:p>
    <w:p>
      <w:pPr/>
      <w:r>
        <w:rPr/>
        <w:t>The revised question is therefore narrower than the original claim that each layer spends entropy faster than the last. What do particular physical and historical comparisons support? Which differences are measured, which depend on modeling choices, and which are supplied by the story we tell about them?</w:t>
      </w:r>
    </w:p>
    <w:p>
      <w:pPr>
        <w:pStyle w:val="Heading2"/>
      </w:pPr>
      <w:bookmarkStart w:id="9" w:name="v3_l47"/>
      <w:r>
        <w:t>2 Constraint is not an origin story</w:t>
      </w:r>
      <w:bookmarkEnd w:id="9"/>
    </w:p>
    <w:p>
      <w:pPr/>
      <w:r>
        <w:rPr/>
        <w:t>Thermodynamics matters to living and engineered systems. It constrains possible physical processes, and local organization must be considered together with the surroundings. Those constraints do not, by themselves, specify a bacterium, a brain, a relationship or an AI system. A physical mechanism needs more than compatibility with the second law.</w:t>
      </w:r>
    </w:p>
    <w:p>
      <w:pPr/>
      <w:r>
        <w:rPr/>
        <w:t>The same caution applies to the word “favored.” Replacing “inevitable” with “favored” does not complete an argument. Favored over which alternatives, under which dynamics, with what resources and over what time? A probability comparison established for one driven model cannot simply be carried across every scale in the sequence.</w:t>
      </w:r>
    </w:p>
    <w:p>
      <w:pPr/>
      <w:r>
        <w:rPr/>
        <w:t>Research on replication, driven self-organization, prediction and semantic information offers precise questions and some precise results. Chapter 2 examines their conditions. The framework may propose a relational application, but it must define that application rather than treat the scientific vocabulary as a completed derivation.</w:t>
      </w:r>
    </w:p>
    <w:p>
      <w:pPr/>
      <w:r>
        <w:rPr/>
        <w:t>This distinction leaves room for inquiry. We can ask how available resources, constraints, feedback and history affect the emergence and persistence of a specified system. We cannot infer a general physical preference for connection merely by observing that connection has physical implementations.</w:t>
      </w:r>
    </w:p>
    <w:p>
      <w:pPr>
        <w:pStyle w:val="Heading2"/>
      </w:pPr>
      <w:bookmarkStart w:id="10" w:name="v3_l57"/>
      <w:r>
        <w:t>3 Purpose and explanation</w:t>
      </w:r>
      <w:bookmarkEnd w:id="10"/>
    </w:p>
    <w:p>
      <w:pPr/>
      <w:r>
        <w:rPr/>
        <w:t>One reading of the selected sequence assigns it a destination: life as the universe waking up, or AI as the next intended step. The physical findings reviewed here do not establish that reading. An account based on mechanisms and boundary conditions need not invoke cosmic intention.</w:t>
      </w:r>
    </w:p>
    <w:p>
      <w:pPr/>
      <w:r>
        <w:rPr/>
        <w:t>That is different from proving that the universe has no purpose. This volume does not possess an experiment or theorem that settles such a metaphysical question. It also need not classify every religious or philosophical tradition as making the same argument. The scientific task is to identify what an explanation requires and what its evidence supports.</w:t>
      </w:r>
    </w:p>
    <w:p>
      <w:pPr/>
      <w:r>
        <w:rPr/>
        <w:t>Carroll's emphasis on starting points is useful as a way to resist reading a future goal back into a past event. It is not a substitute for the dynamics of the event. An account can avoid teleology and still be physically wrong. A universal claim that complexity maximizes dissipation would need evidence even if its author explicitly denied any cosmic intention.</w:t>
      </w:r>
    </w:p>
    <w:p>
      <w:pPr/>
      <w:r>
        <w:rPr/>
        <w:t>The framework calls the risk of turning its descriptive language into an unquestioned cosmic narrative SupoRel. That concern remains important. Its practical test is not how often a warning appears, but whether the claims that follow the warning remain within their evidence.</w:t>
      </w:r>
    </w:p>
    <w:p>
      <w:pPr>
        <w:pStyle w:val="Heading2"/>
      </w:pPr>
      <w:bookmarkStart w:id="11" w:name="v3_l67"/>
      <w:r>
        <w:t>4 What the six chapters will do</w:t>
      </w:r>
      <w:bookmarkEnd w:id="11"/>
    </w:p>
    <w:p>
      <w:pPr/>
      <w:r>
        <w:rPr/>
        <w:t>Chapter 2 separates the adjacent research programs and the quantities they actually define. Their results do not become one theorem merely because they can be placed in one diagram.</w:t>
      </w:r>
    </w:p>
    <w:p>
      <w:pPr/>
      <w:r>
        <w:rPr/>
        <w:t>Chapter 3 revisits the selected sequence from atoms to AI. It retains concrete observations while examining the proposed comparisons, the missing mechanisms and the limits of the frame-rate analogy. The seven gaps are used as questions to answer, not certificates that an answer is sound.</w:t>
      </w:r>
    </w:p>
    <w:p>
      <w:pPr/>
      <w:r>
        <w:rPr/>
        <w:t>Chapter 4 examines the star-as-host metaphor and the social analogies at the volume's most speculative edge. A memorable image can expose a question. It cannot supply a stellar feedback mechanism or turn conflict into a measured thermodynamic phase transition.</w:t>
      </w:r>
    </w:p>
    <w:p>
      <w:pPr/>
      <w:r>
        <w:rPr/>
        <w:t>Chapter 5 asks what a process with attractors would mean in a specified model. It distinguishes that technical use from a general suggestion that life, intelligence and connection occupy universal basins in a cosmic landscape.</w:t>
      </w:r>
    </w:p>
    <w:p>
      <w:pPr/>
      <w:r>
        <w:rPr/>
        <w:t>Chapter 6 traces the consequences for the framework's other claims. The revised Volumes 1, 2, 4 and 5 provide consistency within this collection, not independent evidence that its relational constructs have been validated. Dependent papers remain separate works and are not silently revised or cleared here.</w:t>
      </w:r>
    </w:p>
    <w:p>
      <w:pPr>
        <w:pStyle w:val="Heading2"/>
      </w:pPr>
      <w:bookmarkStart w:id="12" w:name="v3_l79"/>
      <w:r>
        <w:t>What this chapter now claims</w:t>
      </w:r>
      <w:bookmarkEnd w:id="12"/>
    </w:p>
    <w:p>
      <w:pPr/>
      <w:r>
        <w:rPr/>
        <w:t>The cosmic context of connection remains worth investigating. The historical sequence does not yet establish a universal progression, a common relational expenditure or a thermodynamic reason that relational systems must—or generally should—arise.</w:t>
      </w:r>
    </w:p>
    <w:p>
      <w:pPr/>
      <w:r>
        <w:rPr/>
        <w:t>The work of this volume is to make the proposed bridges visible enough to test. Where a claim fails, the question can survive without the unsupported answer.</w:t>
      </w:r>
    </w:p>
    <w:p>
      <w:pPr>
        <w:pStyle w:val="Heading2"/>
      </w:pPr>
      <w:bookmarkStart w:id="13" w:name="v3_l85"/>
      <w:r>
        <w:t>Framework cross references</w:t>
      </w:r>
      <w:bookmarkEnd w:id="13"/>
    </w:p>
    <w:p>
      <w:pPr/>
      <w:r>
        <w:rPr/>
        <w:t>The original MEPP Assessment Note, WP-19 and Seven Categorical Gaps record the framework's earlier framing. Their internal tier assignments are historical judgments, not scientific consensus or permission to generalize a result. Chapters 2, 3 and 5 provide the external scientific references for the mechanisms discussed here.</w:t>
      </w:r>
    </w:p>
    <w:p>
      <w:pPr>
        <w:pStyle w:val="Heading1"/>
        <w:pageBreakBefore/>
      </w:pPr>
      <w:bookmarkStart w:id="14" w:name="v3_l89"/>
      <w:r>
        <w:t>Chapter 2 The Adjacent Scholarship</w:t>
      </w:r>
      <w:bookmarkEnd w:id="14"/>
    </w:p>
    <w:p>
      <w:pPr/>
      <w:r>
        <w:rPr/>
        <w:t>Who Has Mapped This Territory</w:t>
      </w:r>
    </w:p>
    <w:p>
      <w:pPr/>
      <w:r>
        <w:rPr/>
        <w:t>Epistemic status: A survey of distinct research programs, not a statement of consensus around the framework. Mathematical results retain their assumptions; empirical findings retain their tested scope. The relational applications remain proposals. SupoRel applies before the synthesis, not only after it.</w:t>
      </w:r>
    </w:p>
    <w:p>
      <w:pPr>
        <w:pStyle w:val="Heading2"/>
      </w:pPr>
      <w:bookmarkStart w:id="15" w:name="v3_l95"/>
      <w:r>
        <w:t>1 Four frameworks and a relational question</w:t>
      </w:r>
      <w:bookmarkEnd w:id="15"/>
    </w:p>
    <w:p>
      <w:pPr/>
      <w:r>
        <w:rPr/>
        <w:t>Four bodies of scholarship help formulate the questions this volume asks. They do not jointly establish the Trinket Soul Framework. Their variables, tasks, and system boundaries differ. Putting them beside one another can reveal a useful research question without supplying its answer.</w:t>
      </w:r>
    </w:p>
    <w:p>
      <w:pPr/>
      <w:r>
        <w:rPr/>
        <w:t>The question worth keeping is concrete: when a physically implemented system responds to another system, which information affects a specified outcome, and what resources does that response use? A relational application must define the outcome rather than assume that staying alive, maintaining a connection, predicting a signal, and dissipating energy are the same achievement.</w:t>
      </w:r>
    </w:p>
    <w:p>
      <w:pPr/>
      <w:r>
        <w:rPr/>
        <w:t>Carroll’s aphormeological framing supplies an early guard: explain a process through its prior conditions and dynamics rather than insert a future goal into the explanation. This is a discipline of causal interpretation, not independent evidence for a cosmic progression. Neither a pattern nor its physical description establishes what the universe intends. [P09]</w:t>
      </w:r>
    </w:p>
    <w:p>
      <w:pPr>
        <w:pStyle w:val="Heading2"/>
      </w:pPr>
      <w:bookmarkStart w:id="16" w:name="v3_l103"/>
      <w:r>
        <w:t>2 Chaisson and the energy rate density comparison</w:t>
      </w:r>
      <w:bookmarkEnd w:id="16"/>
    </w:p>
    <w:p>
      <w:pPr/>
      <w:r>
        <w:rPr/>
        <w:t>Chaisson proposes energy rate density as a cross-domain complexity metric. For a stated energy throughput rate P and included mass M,</w:t>
      </w:r>
    </w:p>
    <w:p>
      <w:pPr>
        <w:pStyle w:val="Equation"/>
      </w:pPr>
      <m:oMathPara>
        <m:oMath>
          <m:sSub>
            <m:e>
              <m:r>
                <m:rPr>
                  <m:sty m:val="i"/>
                </m:rPr>
                <w:rPr>
                  <w:rFonts w:ascii="Latin Modern Math" w:hAnsi="Latin Modern Math"/>
                </w:rPr>
                <m:t xml:space="preserve">Φ</m:t>
              </m:r>
            </m:e>
            <m:sub>
              <m:r>
                <m:rPr>
                  <m:nor m:val="1"/>
                  <m:sty m:val="p"/>
                </m:rPr>
                <w:rPr>
                  <w:rFonts w:ascii="Latin Modern Math" w:hAnsi="Latin Modern Math"/>
                </w:rPr>
                <m:t xml:space="preserve">m</m:t>
              </m:r>
            </m:sub>
          </m:sSub>
          <m:r>
            <m:rPr>
              <m:sty m:val="i"/>
            </m:rPr>
            <w:rPr>
              <w:rFonts w:ascii="Latin Modern Math" w:hAnsi="Latin Modern Math"/>
            </w:rPr>
            <m:t xml:space="preserve"> = </m:t>
          </m:r>
          <m:f>
            <m:num>
              <m:r>
                <m:rPr>
                  <m:sty m:val="i"/>
                </m:rPr>
                <w:rPr>
                  <w:rFonts w:ascii="Latin Modern Math" w:hAnsi="Latin Modern Math"/>
                </w:rPr>
                <m:t xml:space="preserve">P</m:t>
              </m:r>
            </m:num>
            <m:den>
              <m:r>
                <m:rPr>
                  <m:sty m:val="i"/>
                </m:rPr>
                <w:rPr>
                  <w:rFonts w:ascii="Latin Modern Math" w:hAnsi="Latin Modern Math"/>
                </w:rPr>
                <m:t xml:space="preserve">M</m:t>
              </m:r>
            </m:den>
          </m:f>
          <m:r>
            <m:rPr>
              <m:nor m:val="1"/>
              <m:sty m:val="p"/>
            </m:rPr>
            <w:rPr>
              <w:rFonts w:ascii="Latin Modern Math" w:hAnsi="Latin Modern Math"/>
            </w:rPr>
            <m:t xml:space="preserve">.</m:t>
          </m:r>
        </m:oMath>
      </m:oMathPara>
    </w:p>
    <w:p>
      <w:pPr/>
      <w:r>
        <w:rPr/>
        <w:t>Its SI units are watts per kilogram. The conversion from the cgs units used in much of this literature is:</w:t>
      </w:r>
    </w:p>
    <w:p>
      <w:pPr>
        <w:pStyle w:val="Equation"/>
      </w:pPr>
      <m:oMathPara>
        <m:oMath>
          <m:r>
            <m:rPr>
              <m:nor m:val="1"/>
              <m:sty m:val="p"/>
            </m:rPr>
            <w:rPr>
              <w:rFonts w:ascii="Latin Modern Math" w:hAnsi="Latin Modern Math"/>
            </w:rPr>
            <m:t xml:space="preserve">1 erg </m:t>
          </m:r>
          <m:sSup>
            <m:e>
              <m:r>
                <m:rPr>
                  <m:nor m:val="1"/>
                  <m:sty m:val="p"/>
                </m:rPr>
                <w:rPr>
                  <w:rFonts w:ascii="Latin Modern Math" w:hAnsi="Latin Modern Math"/>
                </w:rPr>
                <m:t xml:space="preserve">s</m:t>
              </m:r>
            </m:e>
            <m:sup>
              <m:r>
                <m:rPr>
                  <m:nor m:val="1"/>
                  <m:sty m:val="p"/>
                </m:rPr>
                <w:rPr>
                  <w:rFonts w:ascii="Latin Modern Math" w:hAnsi="Latin Modern Math"/>
                </w:rPr>
                <m:t xml:space="preserve">-1</m:t>
              </m:r>
            </m:sup>
          </m:sSup>
          <m:r>
            <m:rPr>
              <m:nor m:val="1"/>
              <m:sty m:val="p"/>
            </m:rPr>
            <w:rPr>
              <w:rFonts w:ascii="Latin Modern Math" w:hAnsi="Latin Modern Math"/>
            </w:rPr>
            <m:t xml:space="preserve"> </m:t>
          </m:r>
          <m:sSup>
            <m:e>
              <m:r>
                <m:rPr>
                  <m:nor m:val="1"/>
                  <m:sty m:val="p"/>
                </m:rPr>
                <w:rPr>
                  <w:rFonts w:ascii="Latin Modern Math" w:hAnsi="Latin Modern Math"/>
                </w:rPr>
                <m:t xml:space="preserve">g</m:t>
              </m:r>
            </m:e>
            <m:sup>
              <m:r>
                <m:rPr>
                  <m:nor m:val="1"/>
                  <m:sty m:val="p"/>
                </m:rPr>
                <w:rPr>
                  <w:rFonts w:ascii="Latin Modern Math" w:hAnsi="Latin Modern Math"/>
                </w:rPr>
                <m:t xml:space="preserve">-1</m:t>
              </m:r>
            </m:sup>
          </m:sSup>
          <m:r>
            <m:rPr>
              <m:nor m:val="1"/>
              <m:sty m:val="p"/>
            </m:rPr>
            <w:rPr>
              <w:rFonts w:ascii="Latin Modern Math" w:hAnsi="Latin Modern Math"/>
            </w:rPr>
            <m:t xml:space="preserve"> = </m:t>
          </m:r>
          <m:sSup>
            <m:e>
              <m:r>
                <m:rPr>
                  <m:nor m:val="1"/>
                  <m:sty m:val="p"/>
                </m:rPr>
                <w:rPr>
                  <w:rFonts w:ascii="Latin Modern Math" w:hAnsi="Latin Modern Math"/>
                </w:rPr>
                <m:t xml:space="preserve">10</m:t>
              </m:r>
            </m:e>
            <m:sup>
              <m:r>
                <m:rPr>
                  <m:nor m:val="1"/>
                  <m:sty m:val="p"/>
                </m:rPr>
                <w:rPr>
                  <w:rFonts w:ascii="Latin Modern Math" w:hAnsi="Latin Modern Math"/>
                </w:rPr>
                <m:t xml:space="preserve">-4</m:t>
              </m:r>
            </m:sup>
          </m:sSup>
          <m:r>
            <m:rPr>
              <m:nor m:val="1"/>
              <m:sty m:val="p"/>
            </m:rPr>
            <w:rPr>
              <w:rFonts w:ascii="Latin Modern Math" w:hAnsi="Latin Modern Math"/>
            </w:rPr>
            <m:t xml:space="preserve"> W </m:t>
          </m:r>
          <m:sSup>
            <m:e>
              <m:r>
                <m:rPr>
                  <m:nor m:val="1"/>
                  <m:sty m:val="p"/>
                </m:rPr>
                <w:rPr>
                  <w:rFonts w:ascii="Latin Modern Math" w:hAnsi="Latin Modern Math"/>
                </w:rPr>
                <m:t xml:space="preserve">kg</m:t>
              </m:r>
            </m:e>
            <m:sup>
              <m:r>
                <m:rPr>
                  <m:nor m:val="1"/>
                  <m:sty m:val="p"/>
                </m:rPr>
                <w:rPr>
                  <w:rFonts w:ascii="Latin Modern Math" w:hAnsi="Latin Modern Math"/>
                </w:rPr>
                <m:t xml:space="preserve">-1</m:t>
              </m:r>
            </m:sup>
          </m:sSup>
          <m:r>
            <m:rPr>
              <m:nor m:val="1"/>
              <m:sty m:val="p"/>
            </m:rPr>
            <w:rPr>
              <w:rFonts w:ascii="Latin Modern Math" w:hAnsi="Latin Modern Math"/>
            </w:rPr>
            <m:t xml:space="preserve">.</m:t>
          </m:r>
        </m:oMath>
      </m:oMathPara>
    </w:p>
    <w:p>
      <w:pPr/>
      <w:r>
        <w:rPr/>
        <w:t>The following are rounded examples from Chaisson’s 2014 and 2015 accounts, not a new dataset or present-day estimates. [P01, P02]</w:t>
      </w:r>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95" w:type="dxa"/>
          <w:bottom w:w="95" w:type="dxa"/>
          <w:left w:w="105" w:type="dxa"/>
          <w:right w:w="105" w:type="dxa"/>
        </w:tblCellMar>
      </w:tblPr>
      <w:tblGrid>
        <w:gridCol w:w="2592"/>
        <w:gridCol w:w="2304"/>
        <w:gridCol w:w="4464"/>
      </w:tblGrid>
      <w:tr>
        <w:trPr>
          <w:cantSplit/>
          <w:tblHeader w:val="true"/>
        </w:trPr>
        <w:tc>
          <w:tcPr>
            <w:tcW w:type="dxa" w:w="2592"/>
            <w:vAlign w:val="center"/>
            <w:shd w:fill="EDEDED"/>
          </w:tcPr>
          <w:p>
            <w:pPr>
              <w:pStyle w:val="BookTable"/>
              <w:keepNext/>
            </w:pPr>
            <w:r>
              <w:rPr>
                <w:b/>
              </w:rPr>
              <w:t>Specified example</w:t>
            </w:r>
          </w:p>
        </w:tc>
        <w:tc>
          <w:tcPr>
            <w:tcW w:type="dxa" w:w="2304"/>
            <w:vAlign w:val="center"/>
            <w:shd w:fill="EDEDED"/>
          </w:tcPr>
          <w:p>
            <w:pPr>
              <w:pStyle w:val="BookTable"/>
              <w:keepNext/>
            </w:pPr>
            <w:r>
              <w:rPr>
                <w:b/>
              </w:rPr>
              <w:t xml:space="preserve">Approximate </w:t>
            </w:r>
            <m:oMath>
              <m:sSub>
                <m:e>
                  <m:r>
                    <m:rPr>
                      <m:sty m:val="i"/>
                    </m:rPr>
                    <w:rPr>
                      <w:rFonts w:ascii="Latin Modern Math" w:hAnsi="Latin Modern Math"/>
                    </w:rPr>
                    <m:t xml:space="preserve">Φ</m:t>
                  </m:r>
                </m:e>
                <m:sub>
                  <m:r>
                    <m:rPr>
                      <m:nor m:val="1"/>
                      <m:sty m:val="p"/>
                    </m:rPr>
                    <w:rPr>
                      <w:rFonts w:ascii="Latin Modern Math" w:hAnsi="Latin Modern Math"/>
                    </w:rPr>
                    <m:t xml:space="preserve">m</m:t>
                  </m:r>
                </m:sub>
              </m:sSub>
            </m:oMath>
          </w:p>
        </w:tc>
        <w:tc>
          <w:tcPr>
            <w:tcW w:type="dxa" w:w="4464"/>
            <w:vAlign w:val="center"/>
            <w:shd w:fill="EDEDED"/>
          </w:tcPr>
          <w:p>
            <w:pPr>
              <w:pStyle w:val="BookTable"/>
              <w:keepNext/>
            </w:pPr>
            <w:r>
              <w:rPr>
                <w:b/>
              </w:rPr>
              <w:t>Accounting boundary</w:t>
            </w:r>
          </w:p>
        </w:tc>
      </w:tr>
      <w:tr>
        <w:trPr>
          <w:cantSplit/>
        </w:trPr>
        <w:tc>
          <w:tcPr>
            <w:tcW w:type="dxa" w:w="2592"/>
            <w:vAlign w:val="center"/>
          </w:tcPr>
          <w:p>
            <w:pPr>
              <w:pStyle w:val="BookTable"/>
              <w:keepNext w:val="0"/>
            </w:pPr>
            <w:r>
              <w:rPr/>
              <w:t>Sun</w:t>
            </w:r>
          </w:p>
        </w:tc>
        <w:tc>
          <w:tcPr>
            <w:tcW w:type="dxa" w:w="2304"/>
            <w:vAlign w:val="center"/>
          </w:tcPr>
          <w:p>
            <w:pPr>
              <w:pStyle w:val="BookTable"/>
              <w:keepNext w:val="0"/>
            </w:pPr>
            <w:r>
              <w:rPr/>
              <w:t xml:space="preserve">2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-4</m:t>
                  </m:r>
                </m:sup>
              </m:sSup>
            </m:oMath>
            <w:r>
              <w:rPr/>
              <w:t xml:space="preserve"> W/kg</w:t>
            </w:r>
          </w:p>
        </w:tc>
        <w:tc>
          <w:tcPr>
            <w:tcW w:type="dxa" w:w="4464"/>
            <w:vAlign w:val="center"/>
          </w:tcPr>
          <w:p>
            <w:pPr>
              <w:pStyle w:val="BookTable"/>
              <w:keepNext w:val="0"/>
            </w:pPr>
            <w:r>
              <w:rPr/>
              <w:t>Luminosity divided by total solar mass</w:t>
            </w:r>
          </w:p>
        </w:tc>
      </w:tr>
      <w:tr>
        <w:trPr>
          <w:cantSplit/>
        </w:trPr>
        <w:tc>
          <w:tcPr>
            <w:tcW w:type="dxa" w:w="2592"/>
            <w:vAlign w:val="center"/>
          </w:tcPr>
          <w:p>
            <w:pPr>
              <w:pStyle w:val="BookTable"/>
              <w:keepNext w:val="0"/>
            </w:pPr>
            <w:r>
              <w:rPr/>
              <w:t>Adult human body</w:t>
            </w:r>
          </w:p>
        </w:tc>
        <w:tc>
          <w:tcPr>
            <w:tcW w:type="dxa" w:w="2304"/>
            <w:vAlign w:val="center"/>
          </w:tcPr>
          <w:p>
            <w:pPr>
              <w:pStyle w:val="BookTable"/>
              <w:keepNext w:val="0"/>
            </w:pPr>
            <w:r>
              <w:rPr/>
              <w:t>2 W/kg</w:t>
            </w:r>
          </w:p>
        </w:tc>
        <w:tc>
          <w:tcPr>
            <w:tcW w:type="dxa" w:w="4464"/>
            <w:vAlign w:val="center"/>
          </w:tcPr>
          <w:p>
            <w:pPr>
              <w:pStyle w:val="BookTable"/>
              <w:keepNext w:val="0"/>
            </w:pPr>
            <w:r>
              <w:rPr/>
              <w:t>Food-energy consumption divided by body mass</w:t>
            </w:r>
          </w:p>
        </w:tc>
      </w:tr>
      <w:tr>
        <w:trPr>
          <w:cantSplit/>
        </w:trPr>
        <w:tc>
          <w:tcPr>
            <w:tcW w:type="dxa" w:w="2592"/>
            <w:vAlign w:val="center"/>
          </w:tcPr>
          <w:p>
            <w:pPr>
              <w:pStyle w:val="BookTable"/>
              <w:keepNext w:val="0"/>
            </w:pPr>
            <w:r>
              <w:rPr/>
              <w:t>Adult human brain</w:t>
            </w:r>
          </w:p>
        </w:tc>
        <w:tc>
          <w:tcPr>
            <w:tcW w:type="dxa" w:w="2304"/>
            <w:vAlign w:val="center"/>
          </w:tcPr>
          <w:p>
            <w:pPr>
              <w:pStyle w:val="BookTable"/>
              <w:keepNext w:val="0"/>
            </w:pPr>
            <w:r>
              <w:rPr/>
              <w:t>15 W/kg</w:t>
            </w:r>
          </w:p>
        </w:tc>
        <w:tc>
          <w:tcPr>
            <w:tcW w:type="dxa" w:w="4464"/>
            <w:vAlign w:val="center"/>
          </w:tcPr>
          <w:p>
            <w:pPr>
              <w:pStyle w:val="BookTable"/>
              <w:keepNext w:val="0"/>
            </w:pPr>
            <w:r>
              <w:rPr/>
              <w:t>Approximately 20 W divided by approximately 1.35 kg</w:t>
            </w:r>
          </w:p>
        </w:tc>
      </w:tr>
      <w:tr>
        <w:trPr>
          <w:cantSplit/>
        </w:trPr>
        <w:tc>
          <w:tcPr>
            <w:tcW w:type="dxa" w:w="2592"/>
            <w:vAlign w:val="center"/>
          </w:tcPr>
          <w:p>
            <w:pPr>
              <w:pStyle w:val="BookTable"/>
              <w:keepNext w:val="0"/>
            </w:pPr>
            <w:r>
              <w:rPr/>
              <w:t>Human society in the cited account</w:t>
            </w:r>
          </w:p>
        </w:tc>
        <w:tc>
          <w:tcPr>
            <w:tcW w:type="dxa" w:w="2304"/>
            <w:vAlign w:val="center"/>
          </w:tcPr>
          <w:p>
            <w:pPr>
              <w:pStyle w:val="BookTable"/>
              <w:keepNext w:val="0"/>
            </w:pPr>
            <w:r>
              <w:rPr/>
              <w:t>50 W/kg</w:t>
            </w:r>
          </w:p>
        </w:tc>
        <w:tc>
          <w:tcPr>
            <w:tcW w:type="dxa" w:w="4464"/>
            <w:vAlign w:val="center"/>
          </w:tcPr>
          <w:p>
            <w:pPr>
              <w:pStyle w:val="BookTable"/>
              <w:keepNext w:val="0"/>
            </w:pPr>
            <w:r>
              <w:rPr/>
              <w:t>Aggregate energy use divided by human body mass, excluding infrastructure</w:t>
            </w:r>
          </w:p>
        </w:tc>
      </w:tr>
    </w:tbl>
    <w:p>
      <w:pPr>
        <w:spacing w:after="80" w:line="40" w:lineRule="exact"/>
      </w:pPr>
      <w:r>
        <w:rPr>
          <w:sz w:val="4"/>
        </w:rPr>
      </w:r>
    </w:p>
    <w:p>
      <w:pPr/>
      <w:r>
        <w:rPr/>
        <w:t xml:space="preserve">The original civilization value of </w:t>
      </w:r>
      <m:oMath>
        <m:sSup>
          <m:e>
            <m:r>
              <m:rPr>
                <m:nor m:val="1"/>
                <m:sty m:val="p"/>
              </m:rPr>
              <w:rPr>
                <w:rFonts w:ascii="Latin Modern Math" w:hAnsi="Latin Modern Math"/>
              </w:rPr>
              <m:t xml:space="preserve">10</m:t>
            </m:r>
          </m:e>
          <m:sup>
            <m:r>
              <m:rPr>
                <m:nor m:val="1"/>
                <m:sty m:val="p"/>
              </m:rPr>
              <w:rPr>
                <w:rFonts w:ascii="Latin Modern Math" w:hAnsi="Latin Modern Math"/>
              </w:rPr>
              <m:t xml:space="preserve">5</m:t>
            </m:r>
          </m:sup>
        </m:sSup>
      </m:oMath>
      <w:r>
        <w:rPr/>
        <w:t xml:space="preserve"> W/kg and brain value of </w:t>
      </w:r>
      <m:oMath>
        <m:sSup>
          <m:e>
            <m:r>
              <m:rPr>
                <m:nor m:val="1"/>
                <m:sty m:val="p"/>
              </m:rPr>
              <w:rPr>
                <w:rFonts w:ascii="Latin Modern Math" w:hAnsi="Latin Modern Math"/>
              </w:rPr>
              <m:t xml:space="preserve">10</m:t>
            </m:r>
          </m:e>
          <m:sup>
            <m:r>
              <m:rPr>
                <m:nor m:val="1"/>
                <m:sty m:val="p"/>
              </m:rPr>
              <w:rPr>
                <w:rFonts w:ascii="Latin Modern Math" w:hAnsi="Latin Modern Math"/>
              </w:rPr>
              <m:t xml:space="preserve">2</m:t>
            </m:r>
          </m:sup>
        </m:sSup>
      </m:oMath>
      <w:r>
        <w:rPr/>
        <w:t xml:space="preserve"> W/kg are not retained. More important than a repaired exponent is the boundary: the society estimate counts energy used through machines while excluding their mass. A comparison with a brain or a star therefore needs an argument for comparability, not just matching units.</w:t>
      </w:r>
    </w:p>
    <w:p>
      <w:pPr/>
      <w:r>
        <w:rPr/>
        <w:t xml:space="preserve">Energy rate density is not entropy production rate. Watts per kilogram and joules per kelvin per second are different dimensions. Even a mass-specific entropy production rate would still require the kelvin denominator. Temperature, energy quality, transfers, and the physical processes inside the chosen boundary matter; </w:t>
      </w:r>
      <m:oMath>
        <m:sSub>
          <m:e>
            <m:r>
              <m:rPr>
                <m:sty m:val="i"/>
              </m:rPr>
              <w:rPr>
                <w:rFonts w:ascii="Latin Modern Math" w:hAnsi="Latin Modern Math"/>
              </w:rPr>
              <m:t xml:space="preserve">Φ</m:t>
            </m:r>
          </m:e>
          <m:sub>
            <m:r>
              <m:rPr>
                <m:nor m:val="1"/>
                <m:sty m:val="p"/>
              </m:rPr>
              <w:rPr>
                <w:rFonts w:ascii="Latin Modern Math" w:hAnsi="Latin Modern Math"/>
              </w:rPr>
              <m:t xml:space="preserve">m</m:t>
            </m:r>
          </m:sub>
        </m:sSub>
      </m:oMath>
      <w:r>
        <w:rPr/>
        <w:t xml:space="preserve"> alone does not supply them. Chaisson’s own program distinguishes its energy metric from entropy production. [P02]</w:t>
      </w:r>
    </w:p>
    <w:p>
      <w:pPr/>
      <w:r>
        <w:rPr/>
        <w:t>What Chaisson provides is a quantitative comparison and a proposed interpretation of it. This chapter does not turn the proposed metric into an independent definition and then cite the resulting ranking as proof that complexity must rise. Nor does it infer that every lineage, every system, or the universe as a whole follows the selected sequence.</w:t>
      </w:r>
    </w:p>
    <w:p>
      <w:pPr/>
      <w:r>
        <w:rPr/>
        <w:t xml:space="preserve">TSF adds a question about function and relationship. A higher </w:t>
      </w:r>
      <m:oMath>
        <m:sSub>
          <m:e>
            <m:r>
              <m:rPr>
                <m:sty m:val="i"/>
              </m:rPr>
              <w:rPr>
                <w:rFonts w:ascii="Latin Modern Math" w:hAnsi="Latin Modern Math"/>
              </w:rPr>
              <m:t xml:space="preserve">Φ</m:t>
            </m:r>
          </m:e>
          <m:sub>
            <m:r>
              <m:rPr>
                <m:nor m:val="1"/>
                <m:sty m:val="p"/>
              </m:rPr>
              <w:rPr>
                <w:rFonts w:ascii="Latin Modern Math" w:hAnsi="Latin Modern Math"/>
              </w:rPr>
              <m:t xml:space="preserve">m</m:t>
            </m:r>
          </m:sub>
        </m:sSub>
      </m:oMath>
      <w:r>
        <w:rPr/>
        <w:t xml:space="preserve"> does not establish greater care, meaning, or relational benefit. The Trinket and the proposed transducer describe what the framework wants to investigate; they are not yet instruments for measuring what energy becomes when a system cares.</w:t>
      </w:r>
    </w:p>
    <w:p>
      <w:pPr>
        <w:pStyle w:val="Heading2"/>
      </w:pPr>
      <w:bookmarkStart w:id="17" w:name="v3_l130"/>
      <w:r>
        <w:t>3 England and the constraints on driven organization</w:t>
      </w:r>
      <w:bookmarkEnd w:id="17"/>
    </w:p>
    <w:p>
      <w:pPr/>
      <w:r>
        <w:rPr/>
        <w:t>Two results must be separated. England’s 2013 self-replication paper derives a lower bound on heat released to a thermal bath, with terms for internal entropy and forward versus reverse transition probabilities. Its replication application connects the bound to growth and decay rates. It does not show that replication necessarily begins or that replicators dissipate more than every nonreplicator. [P03]</w:t>
      </w:r>
    </w:p>
    <w:p>
      <w:pPr/>
      <w:r>
        <w:rPr/>
        <w:t>Perunov, Marsland, and England’s 2016 adaptation paper analyzes relative outcome probabilities in specified driven stochastic dynamics. Dissipative history enters alongside other terms, including internal-entropy differences, reverse accessibility, and fluctuations. Its analytical examples motivate a broader hypothesis about driven organization; they do not establish a universal rule that the most complex or most dissipative state wins. [P04]</w:t>
      </w:r>
    </w:p>
    <w:p>
      <w:pPr/>
      <w:r>
        <w:rPr/>
        <w:t>Chvykov and colleagues provide a different, experimentally tested result in robotic active matter, alongside simulations. Their rattling measure describes disorder in a configuration’s driven response, estimated from a covariance matrix of short-time, rescaled configuration displacements. Lower rattling predicts higher steady-state probability in the studied settings. It is not the variance of entropy production. The theory uses assumptions about effectively random configuration dynamics and has identified limits. [P07]</w:t>
      </w:r>
    </w:p>
    <w:p>
      <w:pPr/>
      <w:r>
        <w:rPr/>
        <w:t>These distinctions matter to the proposed bridge. Neither a lower bound on replication heat nor a conditional account of driven self-organization derives the emergence of relational systems. Replacing “everything maximizes dissipation” with “everything stabilizes dissipation” would preserve the overreach under a new verb.</w:t>
      </w:r>
    </w:p>
    <w:p>
      <w:pPr/>
      <w:r>
        <w:rPr/>
        <w:t>The framework can ask how communication contributes to the maintenance or behavior of an already specified system. It cannot cite this scholarship as the thermodynamic reason why connection, grief, or the Trinket had to arise. Those applications require their own dynamics and evidence.</w:t>
      </w:r>
    </w:p>
    <w:p>
      <w:pPr>
        <w:pStyle w:val="Heading2"/>
      </w:pPr>
      <w:bookmarkStart w:id="18" w:name="v3_l142"/>
      <w:r>
        <w:t>4 Kolchinsky and Wolpert and information that matters</w:t>
      </w:r>
      <w:bookmarkEnd w:id="18"/>
    </w:p>
    <w:p>
      <w:pPr/>
      <w:r>
        <w:rPr/>
        <w:t>Kolchinsky and Wolpert define semantic information through counterfactual interventions on system–environment correlations and their effects on a chosen viability measure at a chosen time. Their principal viability choice is negative system entropy:</w:t>
      </w:r>
    </w:p>
    <w:p>
      <w:pPr>
        <w:pStyle w:val="Equation"/>
      </w:pPr>
      <m:oMathPara>
        <m:oMath>
          <m:r>
            <m:rPr>
              <m:sty m:val="i"/>
            </m:rPr>
            <w:rPr>
              <w:rFonts w:ascii="Latin Modern Math" w:hAnsi="Latin Modern Math"/>
            </w:rPr>
            <m:t xml:space="preserve">V(</m:t>
          </m:r>
          <m:sSub>
            <m:e>
              <m:r>
                <m:rPr>
                  <m:sty m:val="i"/>
                </m:rPr>
                <w:rPr>
                  <w:rFonts w:ascii="Latin Modern Math" w:hAnsi="Latin Modern Math"/>
                </w:rPr>
                <m:t xml:space="preserve">p</m:t>
              </m:r>
            </m:e>
            <m:sub>
              <m:sSub>
                <m:e>
                  <m:r>
                    <m:rPr>
                      <m:sty m:val="i"/>
                    </m:rPr>
                    <w:rPr>
                      <w:rFonts w:ascii="Latin Modern Math" w:hAnsi="Latin Modern Math"/>
                    </w:rPr>
                    <m:t xml:space="preserve">X</m:t>
                  </m:r>
                </m:e>
                <m:sub>
                  <m:r>
                    <m:rPr>
                      <m:sty m:val="i"/>
                    </m:rPr>
                    <w:rPr>
                      <w:rFonts w:ascii="Latin Modern Math" w:hAnsi="Latin Modern Math"/>
                    </w:rPr>
                    <m:t xml:space="preserve">τ</m:t>
                  </m:r>
                </m:sub>
              </m:sSub>
            </m:sub>
          </m:sSub>
          <m:r>
            <m:rPr>
              <m:sty m:val="i"/>
            </m:rPr>
            <w:rPr>
              <w:rFonts w:ascii="Latin Modern Math" w:hAnsi="Latin Modern Math"/>
            </w:rPr>
            <m:t xml:space="preserve">) = −H(</m:t>
          </m:r>
          <m:sSub>
            <m:e>
              <m:r>
                <m:rPr>
                  <m:sty m:val="i"/>
                </m:rPr>
                <w:rPr>
                  <w:rFonts w:ascii="Latin Modern Math" w:hAnsi="Latin Modern Math"/>
                </w:rPr>
                <m:t xml:space="preserve">p</m:t>
              </m:r>
            </m:e>
            <m:sub>
              <m:sSub>
                <m:e>
                  <m:r>
                    <m:rPr>
                      <m:sty m:val="i"/>
                    </m:rPr>
                    <w:rPr>
                      <w:rFonts w:ascii="Latin Modern Math" w:hAnsi="Latin Modern Math"/>
                    </w:rPr>
                    <m:t xml:space="preserve">X</m:t>
                  </m:r>
                </m:e>
                <m:sub>
                  <m:r>
                    <m:rPr>
                      <m:sty m:val="i"/>
                    </m:rPr>
                    <w:rPr>
                      <w:rFonts w:ascii="Latin Modern Math" w:hAnsi="Latin Modern Math"/>
                    </w:rPr>
                    <m:t xml:space="preserve">τ</m:t>
                  </m:r>
                </m:sub>
              </m:sSub>
            </m:sub>
          </m:sSub>
          <m:r>
            <m:rPr>
              <m:sty m:val="i"/>
            </m:rPr>
            <w:rPr>
              <w:rFonts w:ascii="Latin Modern Math" w:hAnsi="Latin Modern Math"/>
            </w:rPr>
            <m:t xml:space="preserve">)</m:t>
          </m:r>
          <m:r>
            <m:rPr>
              <m:nor m:val="1"/>
              <m:sty m:val="p"/>
            </m:rPr>
            <w:rPr>
              <w:rFonts w:ascii="Latin Modern Math" w:hAnsi="Latin Modern Math"/>
            </w:rPr>
            <m:t xml:space="preserve">,</m:t>
          </m:r>
        </m:oMath>
      </m:oMathPara>
    </w:p>
    <w:p>
      <w:pPr/>
      <w:r>
        <w:rPr/>
        <w:t>where H is Shannon entropy, here in bits. A coarse-grained model also needs the internal entropies of its macrostates. Stored semantic information is the minimum retained mutual information, within the specified intervention family, that preserves the actual viability value. [P05]</w:t>
      </w:r>
    </w:p>
    <w:p>
      <w:pPr/>
      <w:r>
        <w:rPr/>
        <w:t xml:space="preserve">For positive initial mutual information </w:t>
      </w:r>
      <m:oMath>
        <m:sSub>
          <m:e>
            <m:r>
              <m:rPr>
                <m:sty m:val="i"/>
              </m:rPr>
              <w:rPr>
                <w:rFonts w:ascii="Latin Modern Math" w:hAnsi="Latin Modern Math"/>
              </w:rPr>
              <m:t xml:space="preserve">I</m:t>
            </m:r>
          </m:e>
          <m:sub>
            <m:r>
              <m:rPr>
                <m:nor m:val="1"/>
                <m:sty m:val="p"/>
              </m:rPr>
              <w:rPr>
                <w:rFonts w:ascii="Latin Modern Math" w:hAnsi="Latin Modern Math"/>
              </w:rPr>
              <m:t xml:space="preserve">0</m:t>
            </m:r>
          </m:sub>
        </m:sSub>
      </m:oMath>
      <w:r>
        <w:rPr/>
        <w:t>, their stored thermodynamic multiplier is:</w:t>
      </w:r>
    </w:p>
    <w:p>
      <w:pPr>
        <w:pStyle w:val="Equation"/>
      </w:pPr>
      <m:oMathPara>
        <m:oMath>
          <m:sSub>
            <m:e>
              <m:r>
                <m:rPr>
                  <m:sty m:val="i"/>
                </m:rPr>
                <w:rPr>
                  <w:rFonts w:ascii="Latin Modern Math" w:hAnsi="Latin Modern Math"/>
                </w:rPr>
                <m:t xml:space="preserve">κ</m:t>
              </m:r>
            </m:e>
            <m:sub>
              <m:r>
                <m:rPr>
                  <m:nor m:val="1"/>
                  <m:sty m:val="p"/>
                </m:rPr>
                <w:rPr>
                  <w:rFonts w:ascii="Latin Modern Math" w:hAnsi="Latin Modern Math"/>
                </w:rPr>
                <m:t xml:space="preserve">stored</m:t>
              </m:r>
            </m:sub>
          </m:sSub>
          <m:r>
            <m:rPr>
              <m:sty m:val="i"/>
            </m:rPr>
            <w:rPr>
              <w:rFonts w:ascii="Latin Modern Math" w:hAnsi="Latin Modern Math"/>
            </w:rPr>
            <m:t xml:space="preserve"> = </m:t>
          </m:r>
          <m:f>
            <m:num>
              <m:sSub>
                <m:e>
                  <m:r>
                    <m:rPr>
                      <m:sty m:val="i"/>
                    </m:rPr>
                    <w:rPr>
                      <w:rFonts w:ascii="Latin Modern Math" w:hAnsi="Latin Modern Math"/>
                    </w:rPr>
                    <m:t xml:space="preserve">ΔV</m:t>
                  </m:r>
                </m:e>
                <m:sub>
                  <m:r>
                    <m:rPr>
                      <m:nor m:val="1"/>
                      <m:sty m:val="p"/>
                    </m:rPr>
                    <w:rPr>
                      <w:rFonts w:ascii="Latin Modern Math" w:hAnsi="Latin Modern Math"/>
                    </w:rPr>
                    <m:t xml:space="preserve">tot</m:t>
                  </m:r>
                </m:sub>
              </m:sSub>
            </m:num>
            <m:den>
              <m:sSub>
                <m:e>
                  <m:r>
                    <m:rPr>
                      <m:sty m:val="i"/>
                    </m:rPr>
                    <w:rPr>
                      <w:rFonts w:ascii="Latin Modern Math" w:hAnsi="Latin Modern Math"/>
                    </w:rPr>
                    <m:t xml:space="preserve">I</m:t>
                  </m:r>
                </m:e>
                <m:sub>
                  <m:r>
                    <m:rPr>
                      <m:nor m:val="1"/>
                      <m:sty m:val="p"/>
                    </m:rPr>
                    <w:rPr>
                      <w:rFonts w:ascii="Latin Modern Math" w:hAnsi="Latin Modern Math"/>
                    </w:rPr>
                    <m:t xml:space="preserve">0</m:t>
                  </m:r>
                </m:sub>
              </m:sSub>
            </m:den>
          </m:f>
          <m:r>
            <m:rPr>
              <m:nor m:val="1"/>
              <m:sty m:val="p"/>
            </m:rPr>
            <w:rPr>
              <w:rFonts w:ascii="Latin Modern Math" w:hAnsi="Latin Modern Math"/>
            </w:rPr>
            <m:t xml:space="preserve">.</m:t>
          </m:r>
        </m:oMath>
      </m:oMathPara>
    </w:p>
    <w:p>
      <w:pPr/>
      <w:r>
        <w:rPr/>
        <w:t>With the negative-entropy choice, numerator and denominator are in bits. The multiplier compares a viability effect with an idealized information-acquisition benchmark under stated energetic assumptions. It need not exceed one and can be negative. It is not a general conversion from meaning into joules. [P05]</w:t>
      </w:r>
    </w:p>
    <w:p>
      <w:pPr/>
      <w:r>
        <w:rPr/>
        <w:t xml:space="preserve">The relational application remains unvalidated. An internal document such as DFQ-001 records an argument; it does not establish that a proposed </w:t>
      </w:r>
      <m:oMath>
        <m:sSub>
          <m:e>
            <m:r>
              <m:rPr>
                <m:sty m:val="i"/>
              </m:rPr>
              <w:rPr>
                <w:rFonts w:ascii="Latin Modern Math" w:hAnsi="Latin Modern Math"/>
              </w:rPr>
              <m:t xml:space="preserve">V</m:t>
            </m:r>
          </m:e>
          <m:sub>
            <m:r>
              <m:rPr>
                <m:nor m:val="1"/>
                <m:sty m:val="p"/>
              </m:rPr>
              <w:rPr>
                <w:rFonts w:ascii="Latin Modern Math" w:hAnsi="Latin Modern Math"/>
              </w:rPr>
              <m:t xml:space="preserve">rel</m:t>
            </m:r>
          </m:sub>
        </m:sSub>
      </m:oMath>
      <w:r>
        <w:rPr/>
        <w:t xml:space="preserve"> inherits a physical interpretation or has passed an empirical test. A relational score must specify whose outcome it represents, over what interval, under which interventions, and with what evidence that it measures the intended construct. Low uncertainty alone does not establish a healthy relationship.</w:t>
      </w:r>
    </w:p>
    <w:p>
      <w:pPr/>
      <w:r>
        <w:rPr/>
        <w:t>The Shadow Economy is not identical to K-W’s scrambling intervention. A harmful interaction may be highly structured and informative. Nor does unreciprocated transmission introduce a third regime missing from their framework: their treatment allows partial interventions and asymmetric semantic effects without requiring interpersonal reciprocity. [P05] Delivery, recognition, reply, cost, and outcome must be distinguished. The corrected Volumes 1, 2, and 4 preserve that distinction as internal continuity, not external validation.</w:t>
      </w:r>
    </w:p>
    <w:p>
      <w:pPr>
        <w:pStyle w:val="Heading2"/>
      </w:pPr>
      <w:bookmarkStart w:id="19" w:name="v3_l160"/>
      <w:r>
        <w:t>5 Still and the thermodynamics of prediction</w:t>
      </w:r>
      <w:bookmarkEnd w:id="19"/>
    </w:p>
    <w:p>
      <w:pPr/>
      <w:r>
        <w:rPr/>
        <w:t>Still, Sivak, Bell, and Crooks analyze a system responding to a stochastic external signal without feedback to that signal. Their finite-protocol setup starts the system in equilibrium and uses Markovian response dynamics in an isothermal bath, with fixed-signal relaxation toward equilibrium. For a driving step they obtain, in nats,</w:t>
      </w:r>
    </w:p>
    <w:p>
      <w:pPr>
        <w:pStyle w:val="Equation"/>
      </w:pPr>
      <m:oMathPara>
        <m:oMath>
          <m:r>
            <m:rPr>
              <m:sty m:val="i"/>
            </m:rPr>
            <w:rPr>
              <w:rFonts w:ascii="Latin Modern Math" w:hAnsi="Latin Modern Math"/>
            </w:rPr>
            <m:t xml:space="preserve">β⟨</m:t>
          </m:r>
          <m:sSub>
            <m:e>
              <m:r>
                <m:rPr>
                  <m:sty m:val="i"/>
                </m:rPr>
                <w:rPr>
                  <w:rFonts w:ascii="Latin Modern Math" w:hAnsi="Latin Modern Math"/>
                </w:rPr>
                <m:t xml:space="preserve">W</m:t>
              </m:r>
            </m:e>
            <m:sub>
              <m:r>
                <m:rPr>
                  <m:nor m:val="1"/>
                  <m:sty m:val="p"/>
                </m:rPr>
                <w:rPr>
                  <w:rFonts w:ascii="Latin Modern Math" w:hAnsi="Latin Modern Math"/>
                </w:rPr>
                <m:t xml:space="preserve">diss,step</m:t>
              </m:r>
            </m:sub>
          </m:sSub>
          <m:r>
            <m:rPr>
              <m:sty m:val="i"/>
            </m:rPr>
            <w:rPr>
              <w:rFonts w:ascii="Latin Modern Math" w:hAnsi="Latin Modern Math"/>
            </w:rPr>
            <m:t xml:space="preserve">(t)⟩ = I(</m:t>
          </m:r>
          <m:sSub>
            <m:e>
              <m:r>
                <m:rPr>
                  <m:sty m:val="i"/>
                </m:rPr>
                <w:rPr>
                  <w:rFonts w:ascii="Latin Modern Math" w:hAnsi="Latin Modern Math"/>
                </w:rPr>
                <m:t xml:space="preserve">s</m:t>
              </m:r>
            </m:e>
            <m:sub>
              <m:r>
                <m:rPr>
                  <m:sty m:val="i"/>
                </m:rPr>
                <w:rPr>
                  <w:rFonts w:ascii="Latin Modern Math" w:hAnsi="Latin Modern Math"/>
                </w:rPr>
                <m:t xml:space="preserve">t</m:t>
              </m:r>
            </m:sub>
          </m:sSub>
          <m:r>
            <m:rPr>
              <m:sty m:val="i"/>
            </m:rPr>
            <w:rPr>
              <w:rFonts w:ascii="Latin Modern Math" w:hAnsi="Latin Modern Math"/>
            </w:rPr>
            <m:t xml:space="preserve">; </m:t>
          </m:r>
          <m:sSub>
            <m:e>
              <m:r>
                <m:rPr>
                  <m:sty m:val="i"/>
                </m:rPr>
                <w:rPr>
                  <w:rFonts w:ascii="Latin Modern Math" w:hAnsi="Latin Modern Math"/>
                </w:rPr>
                <m:t xml:space="preserve">x</m:t>
              </m:r>
            </m:e>
            <m:sub>
              <m:r>
                <m:rPr>
                  <m:sty m:val="i"/>
                </m:rPr>
                <w:rPr>
                  <w:rFonts w:ascii="Latin Modern Math" w:hAnsi="Latin Modern Math"/>
                </w:rPr>
                <m:t xml:space="preserve">t</m:t>
              </m:r>
            </m:sub>
          </m:sSub>
          <m:r>
            <m:rPr>
              <m:sty m:val="i"/>
            </m:rPr>
            <w:rPr>
              <w:rFonts w:ascii="Latin Modern Math" w:hAnsi="Latin Modern Math"/>
            </w:rPr>
            <m:t xml:space="preserve">) − I(</m:t>
          </m:r>
          <m:sSub>
            <m:e>
              <m:r>
                <m:rPr>
                  <m:sty m:val="i"/>
                </m:rPr>
                <w:rPr>
                  <w:rFonts w:ascii="Latin Modern Math" w:hAnsi="Latin Modern Math"/>
                </w:rPr>
                <m:t xml:space="preserve">s</m:t>
              </m:r>
            </m:e>
            <m:sub>
              <m:r>
                <m:rPr>
                  <m:sty m:val="i"/>
                </m:rPr>
                <w:rPr>
                  <w:rFonts w:ascii="Latin Modern Math" w:hAnsi="Latin Modern Math"/>
                </w:rPr>
                <m:t xml:space="preserve">t</m:t>
              </m:r>
            </m:sub>
          </m:sSub>
          <m:r>
            <m:rPr>
              <m:sty m:val="i"/>
            </m:rPr>
            <w:rPr>
              <w:rFonts w:ascii="Latin Modern Math" w:hAnsi="Latin Modern Math"/>
            </w:rPr>
            <m:t xml:space="preserve">; </m:t>
          </m:r>
          <m:sSub>
            <m:e>
              <m:r>
                <m:rPr>
                  <m:sty m:val="i"/>
                </m:rPr>
                <w:rPr>
                  <w:rFonts w:ascii="Latin Modern Math" w:hAnsi="Latin Modern Math"/>
                </w:rPr>
                <m:t xml:space="preserve">x</m:t>
              </m:r>
            </m:e>
            <m:sub>
              <m:r>
                <m:rPr>
                  <m:sty m:val="i"/>
                </m:rPr>
                <w:rPr>
                  <w:rFonts w:ascii="Latin Modern Math" w:hAnsi="Latin Modern Math"/>
                </w:rPr>
                <m:t xml:space="preserve">t+1</m:t>
              </m:r>
            </m:sub>
          </m:sSub>
          <m:r>
            <m:rPr>
              <m:sty m:val="i"/>
            </m:rPr>
            <w:rPr>
              <w:rFonts w:ascii="Latin Modern Math" w:hAnsi="Latin Modern Math"/>
            </w:rPr>
            <m:t xml:space="preserve">)</m:t>
          </m:r>
          <m:r>
            <m:rPr>
              <m:nor m:val="1"/>
              <m:sty m:val="p"/>
            </m:rPr>
            <w:rPr>
              <w:rFonts w:ascii="Latin Modern Math" w:hAnsi="Latin Modern Math"/>
            </w:rPr>
            <m:t xml:space="preserve">,</m:t>
          </m:r>
        </m:oMath>
      </m:oMathPara>
    </w:p>
    <w:p>
      <w:pPr/>
      <w:r>
        <w:rPr/>
        <w:t xml:space="preserve">where </w:t>
      </w:r>
      <m:oMath>
        <m:r>
          <m:rPr>
            <m:sty m:val="i"/>
          </m:rPr>
          <w:rPr>
            <w:rFonts w:ascii="Latin Modern Math" w:hAnsi="Latin Modern Math"/>
          </w:rPr>
          <m:t xml:space="preserve">β = </m:t>
        </m:r>
        <m:f>
          <m:num>
            <m:r>
              <m:rPr>
                <m:nor m:val="1"/>
                <m:sty m:val="p"/>
              </m:rPr>
              <w:rPr>
                <w:rFonts w:ascii="Latin Modern Math" w:hAnsi="Latin Modern Math"/>
              </w:rPr>
              <m:t xml:space="preserve">1</m:t>
            </m:r>
          </m:num>
          <m:den>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T</m:t>
            </m:r>
          </m:den>
        </m:f>
      </m:oMath>
      <w:r>
        <w:rPr/>
        <w:t>. For the full protocol, summed nonpredictive information provides a lower bound on total mean dissipation, rather than the same equality for every component of the process. [P06]</w:t>
      </w:r>
    </w:p>
    <w:p>
      <w:pPr/>
      <w:r>
        <w:rPr/>
        <w:t>This is not a proof that a person’s transducer operates at minimum cost. A reciprocal conversation also does not satisfy the no-feedback assumption merely because each participant predicts the other. An appropriate extension or different model would be needed.</w:t>
      </w:r>
    </w:p>
    <w:p>
      <w:pPr/>
      <w:r>
        <w:rPr/>
        <w:t xml:space="preserve">The original instruction to pay a Landauer tax on everything discarded is withdrawn. A cognitive label such as selection or compression does not identify a physical memory reset. For ideal reset of an unbiased bit in a symmetric isothermal memory, with no correlated side information used, the familiar heat benchmark is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T </m:t>
        </m:r>
        <m:r>
          <m:rPr>
            <m:nor m:val="1"/>
            <m:sty m:val="p"/>
          </m:rPr>
          <w:rPr>
            <w:rFonts w:ascii="Latin Modern Math" w:hAnsi="Latin Modern Math"/>
          </w:rPr>
          <m:t xml:space="preserve">ln 2</m:t>
        </m:r>
      </m:oMath>
      <w:r>
        <w:rPr/>
        <w:t>; it is a result about a specified physical operation, not every ignored signal. Heat delivered to a bath and total entropy production must also remain distinct. [P06]</w:t>
      </w:r>
    </w:p>
    <w:p>
      <w:pPr/>
      <w:r>
        <w:rPr/>
        <w:t>TSF adds a possible predictive target: what will this person do, what might this signal mean, and which response would serve a defined relational aim? Filter geometry can organize that proposal. It does not establish that the representation is optimal, that discarded material lacks value, or that its cost has been measured.</w:t>
      </w:r>
    </w:p>
    <w:p>
      <w:pPr>
        <w:pStyle w:val="Heading2"/>
      </w:pPr>
      <w:bookmarkStart w:id="20" w:name="v3_l174"/>
      <w:r>
        <w:t>6 What the synthesis can support</w:t>
      </w:r>
      <w:bookmarkEnd w:id="20"/>
    </w:p>
    <w:p>
      <w:pPr/>
      <w:r>
        <w:rPr/>
        <w:t>These programs offer different resources: a proposed energy comparison, physical constraints on transitions, a counterfactual information measure, and a conditional prediction–dissipation relation. Their coexistence makes a research program possible. It does not make their strongest interpretations mutually confirming.</w:t>
      </w:r>
    </w:p>
    <w:p>
      <w:pPr/>
      <w:r>
        <w:rPr/>
        <w:t>The maximum entropy production principle cannot supply the missing universal link. Martyushev’s 2021 review advocates a formulation with locality and nonadditivity restrictions; it does not provide a demonstrated rule that all systems called complex maximize entropy production while simple ones do not. The review explicitly distinguishes local constitutive claims from aggregate behavior. Classifying a relationship or organism as complex is therefore insufficient to establish applicability. [P08]</w:t>
      </w:r>
    </w:p>
    <w:p>
      <w:pPr/>
      <w:r>
        <w:rPr/>
        <w:t>The next chapter may follow a selected history of physical, biological, and technological developments. It must not present that history as a measured monotonic increase in one quantity, or as a trajectory these four programs jointly predict. The Permission/Necessity Gap remains open at every transition.</w:t>
      </w:r>
    </w:p>
    <w:p>
      <w:pPr/>
      <w:r>
        <w:rPr/>
        <w:t>The relational question survives in a form that can fail a test. Specify the system, its environment, the information available, the intervention, the outcome, and the horizon. Measure physical resources separately. Ask whether the proposed relational description explains or predicts something beyond an appropriate alternative. No such validation is supplied by this survey. That is where the work begins.</w:t>
      </w:r>
    </w:p>
    <w:p>
      <w:pPr>
        <w:pStyle w:val="Heading1"/>
        <w:pageBreakBefore/>
      </w:pPr>
      <w:bookmarkStart w:id="21" w:name="v3_l184"/>
      <w:r>
        <w:t>Chapter 3 The Progression</w:t>
      </w:r>
      <w:bookmarkEnd w:id="21"/>
    </w:p>
    <w:p>
      <w:pPr/>
      <w:r>
        <w:rPr/>
        <w:t>From Atoms to AI, Tier by Tier</w:t>
      </w:r>
    </w:p>
    <w:p>
      <w:pPr/>
      <w:r>
        <w:rPr/>
        <w:t>Epistemic status: Established observations and physical constraints are distinguished below from model-dependent results, analogies, and interpretation. The Progression is a selected retrospective sequence, not an established law of increasing entropy production.</w:t>
      </w:r>
    </w:p>
    <w:p>
      <w:pPr/>
      <w:r>
        <w:rPr/>
        <w:t>SupoRel boundary: Permission is not necessity, and an observed cost is not a demonstrated preference. Each transition needs its own mechanism and evidence. A nonteleological account does not, by itself, validate the Progression.</w:t>
      </w:r>
    </w:p>
    <w:p>
      <w:pPr>
        <w:pStyle w:val="Heading2"/>
      </w:pPr>
      <w:bookmarkStart w:id="22" w:name="v3_l192"/>
      <w:r>
        <w:t>1 The arc</w:t>
      </w:r>
      <w:bookmarkEnd w:id="22"/>
    </w:p>
    <w:p>
      <w:pPr/>
      <w:r>
        <w:rPr/>
        <w:t>Atoms, stars, chemistry, life, brains, AI. It is a compelling sequence to walk. It is also a sequence selected by a narrator standing near its present endpoint. This chapter asks what the examples establish, what they leave open, and where the story outruns the measurements.</w:t>
      </w:r>
    </w:p>
    <w:p>
      <w:pPr/>
      <w:r>
        <w:rPr/>
        <w:t xml:space="preserve">The first distinction is dimensional. Chaisson’s energy rate density, </w:t>
      </w:r>
      <m:oMath>
        <m:sSub>
          <m:e>
            <m:r>
              <m:rPr>
                <m:sty m:val="i"/>
              </m:rPr>
              <w:rPr>
                <w:rFonts w:ascii="Latin Modern Math" w:hAnsi="Latin Modern Math"/>
              </w:rPr>
              <m:t xml:space="preserve">Φ</m:t>
            </m:r>
          </m:e>
          <m:sub>
            <m:r>
              <m:rPr>
                <m:nor m:val="1"/>
                <m:sty m:val="p"/>
              </m:rPr>
              <w:rPr>
                <w:rFonts w:ascii="Latin Modern Math" w:hAnsi="Latin Modern Math"/>
              </w:rPr>
              <m:t xml:space="preserve">m</m:t>
            </m:r>
          </m:sub>
        </m:sSub>
      </m:oMath>
      <w:r>
        <w:rPr/>
        <w:t>, is power divided by mass, measured in W/kg. Entropy-production rate per unit mass has units of W/(K·kg). Inferring entropy production from power requires a physical model of the system, its exchanges, and its surroundings. A list of power densities is not a measured entropy-production ladder. Nor is a sample of increasingly energetic systems evidence that every later system exceeds every earlier one. [P01, P02; Q14]</w:t>
      </w:r>
    </w:p>
    <w:p>
      <w:pPr/>
      <w:r>
        <w:rPr/>
        <w:t>Carroll’s nonteleological framing is useful here: physical explanations need prior conditions and dynamics, not an intended destination. But removing purpose does not establish a universal trend, or show that life and AI occupy inevitable attractor basins. The arrow of time and the direction of this chapter’s narrative are different questions. [Q01]</w:t>
      </w:r>
    </w:p>
    <w:p>
      <w:pPr>
        <w:pStyle w:val="Heading2"/>
      </w:pPr>
      <w:bookmarkStart w:id="23" w:name="v3_l200"/>
      <w:r>
        <w:t>2 Atoms and initial conditions</w:t>
      </w:r>
      <w:bookmarkEnd w:id="23"/>
    </w:p>
    <w:p>
      <w:pPr/>
      <w:r>
        <w:rPr/>
        <w:t>After recombination, the universe contained largely neutral hydrogen and helium, distributed nearly uniformly on large scales with small perturbations. Smoothness has a special significance when gravity matters: a smooth early universe can have low entropy relative to gravitationally collapsed alternatives, even when its matter and radiation are close to local thermal equilibrium. This is not the claim that an isolated hydrogen atom has a universal minimum entropy-production rate. [Q01]</w:t>
      </w:r>
    </w:p>
    <w:p>
      <w:pPr/>
      <w:r>
        <w:rPr/>
        <w:t>The low-entropy past helps frame the thermodynamic arrow of time. It does not hand each future organism a fixed allocation of entropy tokens. A finite ledger of order is a metaphor, not a cosmological quantity established here. Gravity, expansion, boundaries, and coarse-graining matter to any proposed accounting.</w:t>
      </w:r>
    </w:p>
    <w:p>
      <w:pPr/>
      <w:r>
        <w:rPr/>
        <w:t>Tier: The broad cosmological setting is part of the standard physical account. The origin of the low-entropy past and a complete gravitational entropy accounting are not settled by invoking the second law. No progression toward intelligence follows from these statements.</w:t>
      </w:r>
    </w:p>
    <w:p>
      <w:pPr>
        <w:pStyle w:val="Heading2"/>
      </w:pPr>
      <w:bookmarkStart w:id="24" w:name="v3_l208"/>
      <w:r>
        <w:t>3 Stars</w:t>
      </w:r>
      <w:bookmarkEnd w:id="24"/>
    </w:p>
    <w:p>
      <w:pPr/>
      <w:r>
        <w:rPr/>
        <w:t>Gravity gathers and heats material during star formation. Sustained main-sequence luminosity is then powered chiefly by nuclear fusion, not by continued conversion of gravitational potential energy alone. The Sun fuses hydrogen into helium; Borexino’s observations of proton–proton neutrinos provide direct evidence of that energy source. [Q02]</w:t>
      </w:r>
    </w:p>
    <w:p>
      <w:pPr/>
      <w:r>
        <w:rPr/>
        <w:t>Stars also help make the chemical inventory from which later systems form. Carbon-12 is produced in helium burning through the triple-alpha process. It is not a byproduct of the proton–proton chain. Different nuclei have different production histories; “everything above helium is stellar waste” is too sweeping an account. [Q03, Q15]</w:t>
      </w:r>
    </w:p>
    <w:p>
      <w:pPr/>
      <w:r>
        <w:rPr/>
        <w:t>Mass-specific luminosity varies across stars and evolutionary stages. It is an energy-flow measure, not a direct measure of complexity or entropy production. Stellar formation and nucleosynthesis explain particular physical transitions. They do not show that the universe was trying to reach the next rung. [P01, P02]</w:t>
      </w:r>
    </w:p>
    <w:p>
      <w:pPr/>
      <w:r>
        <w:rPr/>
        <w:t>Tier: Established for the identified fusion and nucleosynthesis processes. The description of a star as an entropy acceleration engine is interpretive shorthand, not an additional physical result.</w:t>
      </w:r>
    </w:p>
    <w:p>
      <w:pPr>
        <w:pStyle w:val="Heading2"/>
      </w:pPr>
      <w:bookmarkStart w:id="25" w:name="v3_l218"/>
      <w:r>
        <w:t>4 Chemistry</w:t>
      </w:r>
      <w:bookmarkEnd w:id="25"/>
    </w:p>
    <w:p>
      <w:pPr/>
      <w:r>
        <w:rPr/>
        <w:t>The chemistry is real, and it is more interesting when named precisely. Kvenvolden, Lawless, and Ponnamperuma identified eight nonprotein amino acids in the Murchison meteorite and reported tentative evidence for four more. Hollis, Lovas, and Jewell detected rotational emission attributed to glycolaldehyde toward Sagittarius B2(N). These are specific observations of organic compounds beyond terrestrial biology. [Q04, Q05]</w:t>
      </w:r>
    </w:p>
    <w:p>
      <w:pPr/>
      <w:r>
        <w:rPr/>
        <w:t>They do not measure the probability that life begins, establish that every ingredient is widespread in useful concentrations, or demonstrate an uninterrupted route from a cloud to a cell. A new molecular species may enable new reactions under suitable conditions; it does not automatically add a gradient or increase entropy production. Reaction rates, concentrations, catalysts, and energy sources still have to be specified.</w:t>
      </w:r>
    </w:p>
    <w:p>
      <w:pPr/>
      <w:r>
        <w:rPr/>
        <w:t>Tier: Established for the cited detections, within the methods and qualifications of those studies. Their place in a single cosmic ladder remains an interpretation.</w:t>
      </w:r>
    </w:p>
    <w:p>
      <w:pPr>
        <w:pStyle w:val="Heading2"/>
      </w:pPr>
      <w:bookmarkStart w:id="26" w:name="v3_l226"/>
      <w:r>
        <w:t>5 Life</w:t>
      </w:r>
      <w:bookmarkEnd w:id="26"/>
    </w:p>
    <w:p>
      <w:pPr/>
      <w:r>
        <w:rPr/>
        <w:t>Living organisms maintain and reproduce organized structures through exchanges of energy and matter with their environments. Metabolism has physical costs. There is no evidence here, however, that every bacterium produces more entropy per unit mass than every nonliving chemical system. Such a comparison would require defined boundaries, operating conditions, mass conventions, and entropy balances.</w:t>
      </w:r>
    </w:p>
    <w:p>
      <w:pPr/>
      <w:r>
        <w:rPr/>
        <w:t>The question remains: under which conditions can chemistry become a self-maintaining, reproducing system? Thermodynamic compatibility is one part of that question, not its complete answer.</w:t>
      </w:r>
    </w:p>
    <w:p>
      <w:pPr/>
      <w:r>
        <w:rPr/>
        <w:t>England’s self-replication analysis derives a lower bound on heat dissipation for a specified replication process under stated assumptions. It does not establish that self-replication generally outcompetes every nonreplicating alternative. Work on driven adaptation relates outcomes to more than mean dissipation: kinetics, accessibility, fluctuations, and the driving protocol matter. “Favored” therefore needs a defined comparison and a demonstrated result. Replacing “inevitable” with “favored” is not enough. [P03, P04]</w:t>
      </w:r>
    </w:p>
    <w:p>
      <w:pPr/>
      <w:r>
        <w:rPr/>
        <w:t>Tier: Supported within particular theoretical models or experimental systems, not as a universal explanation of life’s origin. Maximum entropy production remains a proposed principle whose use depends on assumptions and constraints. Martyushev’s review argues for restrictions on its applicability; it does not establish that biological complexity places life inside a validated universal domain. This chapter does not use MEPP to certify its ladder. [P07, P08]</w:t>
      </w:r>
    </w:p>
    <w:p>
      <w:pPr/>
      <w:r>
        <w:rPr/>
        <w:t>The Observation Split from Volume 1 offers a limited analogy: expenditure alone does not tell us what an interaction accomplishes. Thermodynamics likewise does not assign relational value to a physical cost. Irreversible processes can occur without building persistent biological organization. No quantified claim about the fraction of cosmic entropy production that makes life is needed here, and no preference for meaningful configurations has been demonstrated by that analogy.</w:t>
      </w:r>
    </w:p>
    <w:p>
      <w:pPr>
        <w:pStyle w:val="Heading2"/>
      </w:pPr>
      <w:bookmarkStart w:id="27" w:name="v3_l238"/>
      <w:r>
        <w:t>6 Multicellular life and brains</w:t>
      </w:r>
      <w:bookmarkEnd w:id="27"/>
    </w:p>
    <w:p>
      <w:pPr/>
      <w:r>
        <w:rPr/>
        <w:t>Differentiated tissues and nervous systems change what organisms can do and how energy is allocated. In adult humans, the brain is roughly two percent of body mass and accounts for around one fifth of resting energy expenditure. That comparison is specific to adult human physiology and resting conditions. The brain is not the highest-consuming organ per unit mass: standard organ-level estimates evaluated by Wang and colleagues assign higher specific resting metabolic rates to the heart and kidneys. [Q06]</w:t>
      </w:r>
    </w:p>
    <w:p>
      <w:pPr/>
      <w:r>
        <w:rPr/>
        <w:t>These facts establish substantial neural energy costs. They do not show that every transition to multicellularity, every added tissue, or every increase in cognitive capacity raises mass-specific entropy production.</w:t>
      </w:r>
    </w:p>
    <w:p>
      <w:pPr/>
      <w:r>
        <w:rPr/>
        <w:t>A history of increasing capabilities can still be worth tracing. But the examples have been selected for the capabilities that interest us, and power, metabolic expenditure, and entropy production cannot be substituted for one another. The Specificity Gap remains: an available gradient does not determine a particular organism, nervous system, or evolutionary path. Combustion and metabolism involve different mechanisms and constraints; calling both dissipative does not make them equally accessible responses to any given gradient.</w:t>
      </w:r>
    </w:p>
    <w:p>
      <w:pPr/>
      <w:r>
        <w:rPr/>
        <w:t>Looking backward makes the surviving path easy to narrate. Testing a general pattern would also require less complex outcomes, extinct lineages, and systems that never developed life. Their omission cannot count as evidence that thermodynamics disfavored them.</w:t>
      </w:r>
    </w:p>
    <w:p>
      <w:pPr/>
      <w:r>
        <w:rPr/>
        <w:t>Tier: Supported for the scoped physiological findings. Neither the universal increase in entropy production nor the claim that a new layer appeared because the previous layer was spending too slowly is established.</w:t>
      </w:r>
    </w:p>
    <w:p>
      <w:pPr>
        <w:pStyle w:val="Heading2"/>
      </w:pPr>
      <w:bookmarkStart w:id="28" w:name="v3_l250"/>
      <w:r>
        <w:t>7 AI</w:t>
      </w:r>
      <w:bookmarkEnd w:id="28"/>
    </w:p>
    <w:p>
      <w:pPr/>
      <w:r>
        <w:rPr/>
        <w:t>The IEA’s 2025 report estimates that data centres worldwide used about 415 TWh of electricity in 2024. This is the annual electricity use of data centres as a whole, including non-AI computing and supporting infrastructure. It is not an AI-only total, a power-per-mass measurement, or an entropy-production estimate. [Q07]</w:t>
      </w:r>
    </w:p>
    <w:p>
      <w:pPr/>
      <w:r>
        <w:rPr/>
        <w:t>Digital computation plainly has material and energy requirements. To compare an AI system with a brain, we would still need a specified task, system boundary, time interval, and accounting method. A global annual electricity total does not establish that AI is the next thermodynamic layer.</w:t>
      </w:r>
    </w:p>
    <w:p>
      <w:pPr/>
      <w:r>
        <w:rPr/>
        <w:t>AI arose through human engineering, institutions, investment, and a particular technological history. Thermodynamics constrains the hardware; it does not identify AI as the destination of that history. Calling AI another chapter in the Progression is a speculative interpretation, not an observation that a universal entropy-production pattern has continued. The question worth carrying forward is what these systems enable, at what physical cost, and under whose choices. [Q07]</w:t>
      </w:r>
    </w:p>
    <w:p>
      <w:pPr>
        <w:pStyle w:val="Heading2"/>
      </w:pPr>
      <w:bookmarkStart w:id="29" w:name="v3_l258"/>
      <w:r>
        <w:t>8 The frame rate question</w:t>
      </w:r>
      <w:bookmarkEnd w:id="29"/>
    </w:p>
    <w:p>
      <w:pPr/>
      <w:r>
        <w:rPr/>
        <w:t>The transducer diagram uses discrete particles. That is a choice in the representation. It does not show that consciousness, relational attention, or physical entropy arrives in matching packets.</w:t>
      </w:r>
    </w:p>
    <w:p>
      <w:pPr/>
      <w:r>
        <w:rPr/>
        <w:t>Some experiments connect perceptual performance to neural rhythms. Busch, Dubois, and VanRullen found that the phase of ongoing EEG activity was associated with detection of near-threshold visual flashes, particularly in theta and alpha bands. This is evidence about a particular perceptual task. It does not establish a universal human consciousness frame rate of 10–40 Hz, or demonstrate that the brain inserts experience into otherwise empty intervals. [Q08]</w:t>
      </w:r>
    </w:p>
    <w:p>
      <w:pPr/>
      <w:r>
        <w:rPr/>
        <w:t>Questions about how distributed neural activity supports integrated perception remain meaningful. The binding problem cannot be reduced here to a proven film-splicing mechanism.</w:t>
      </w:r>
    </w:p>
    <w:p>
      <w:pPr/>
      <w:r>
        <w:rPr/>
        <w:t>Digital systems also perform operations in sequences, but a token, a context window, an inference run, and a chat session are different units. A context limit does not, by itself, specify when a model is loaded, how application state persists, or what runs between requests. An implementation must be examined before making those operational claims. None of these units establishes the presence or absence of subjective experience.</w:t>
      </w:r>
    </w:p>
    <w:p>
      <w:pPr/>
      <w:r>
        <w:rPr/>
        <w:t>Even if a process has identifiable temporal intervals, energy use could be integrated over those intervals without becoming a universal quantum of entropy. An entropy balance would still require the physical exchanges and temperatures, or an appropriate nonequilibrium model. A sampling rhythm and a computational step are not thereby the same physical event. [Q14]</w:t>
      </w:r>
    </w:p>
    <w:p>
      <w:pPr/>
      <w:r>
        <w:rPr/>
        <w:t>The Trinket can remain a conceptual unit for discussing a bounded act of relational attention. Here it is neither a measured minimum quantum of entropy nor the experimentally identified content of a conscious frame. To turn that proposal into a measurement would require an operational definition and evidence that distinguish it from an arbitrary accounting convention.</w:t>
      </w:r>
    </w:p>
    <w:p>
      <w:pPr/>
      <w:r>
        <w:rPr/>
        <w:t>Tier: Supported for the cited task-specific neural finding; Analogical for the comparison with digital sequencing. The Behind the Substrate Barrier principle marks a limit on what this framework infers about experience. It cannot establish a common frame structure first and postpone only the question of what those frames feel like.</w:t>
      </w:r>
    </w:p>
    <w:p>
      <w:pPr>
        <w:pStyle w:val="Heading2"/>
      </w:pPr>
      <w:bookmarkStart w:id="30" w:name="v3_l274"/>
      <w:r>
        <w:t>9 The seven gaps applied</w:t>
      </w:r>
      <w:bookmarkEnd w:id="30"/>
    </w:p>
    <w:p>
      <w:pPr/>
      <w:r>
        <w:rPr/>
        <w:t>The framework’s own logical firewall applies to its own claims with full force:</w:t>
      </w:r>
    </w:p>
    <w:p>
      <w:pPr/>
      <w:r>
        <w:rPr/>
        <w:t>Gap 1 (Permission/Necessity): Compatibility with thermodynamics does not establish necessity or comparative likelihood. “Favored” needs a specified model and alternatives. [P03, P04]</w:t>
      </w:r>
    </w:p>
    <w:p>
      <w:pPr/>
      <w:r>
        <w:rPr/>
        <w:t>Gap 2 (Specificity): A gradient alone does not specify which structures form. Mechanisms, kinetics, boundary conditions, and history matter.</w:t>
      </w:r>
    </w:p>
    <w:p>
      <w:pPr/>
      <w:r>
        <w:rPr/>
        <w:t>Gap 3 (Scale Mismatch): A cosmological entropy discussion, an organism’s metabolism, and a data centre’s electricity use do not share a measurement merely because all obey physical laws. Boundaries, units, exchanges, and timescales must be made comparable. [Q01, Q06, Q07; Q14]</w:t>
      </w:r>
    </w:p>
    <w:p>
      <w:pPr/>
      <w:r>
        <w:rPr/>
        <w:t>Gap 4 (Ergodicity and Sampling): In the 2008 LTEE report, one of twelve initially identical E. coli populations had evolved aerobic citrate use by 31,500 generations. Replay experiments supported a role for that population’s prior history. This demonstrates contingency in that experimental setting; it does not prove that all driven systems are non-ergodic. Ergodicity is a property of a specified dynamical model and measure, not a synonym for divergent histories. [Q09]</w:t>
      </w:r>
    </w:p>
    <w:p>
      <w:pPr/>
      <w:r>
        <w:rPr/>
        <w:t>Gap 5 (Emergence): Knowing microscopic laws does not automatically supply an explanation at another scale. Anderson’s “More Is Different” argues for the importance of collective behavior and level-specific concepts; it is not a general theorem that no higher-level property can ever be derived. [Q10]</w:t>
      </w:r>
    </w:p>
    <w:p>
      <w:pPr/>
      <w:r>
        <w:rPr/>
        <w:t>Gap 6 (Contingency): Prior changes can alter what becomes accessible later. Historical constraint is not a forecast of which specific organism, technology, or relational practice must arise. [Q09]</w:t>
      </w:r>
    </w:p>
    <w:p>
      <w:pPr/>
      <w:r>
        <w:rPr/>
        <w:t>Gap 7 (Is-Ought): Even a demonstrated energetic or thermodynamic tendency would not tell us what to value or what to build. The Progression is an interpretive way of arranging selected events. It supplies no mandate.</w:t>
      </w:r>
    </w:p>
    <w:p>
      <w:pPr>
        <w:pStyle w:val="Heading1"/>
        <w:pageBreakBefore/>
      </w:pPr>
      <w:bookmarkStart w:id="31" w:name="v3_l292"/>
      <w:r>
        <w:t>Chapter 4 The View from Outside</w:t>
      </w:r>
      <w:bookmarkEnd w:id="31"/>
    </w:p>
    <w:p>
      <w:pPr/>
      <w:r>
        <w:rPr/>
        <w:t>The Virus and the Star</w:t>
      </w:r>
    </w:p>
    <w:p>
      <w:pPr/>
      <w:r>
        <w:rPr/>
        <w:t>Epistemic status: LITERARY THOUGHT EXPERIMENT AND CRITIQUE. The imagined stellar viewpoint is an analogy, not a physical hypothesis established by thermodynamics. The physical limits of that analogy are stated where it is used. Internal narrative consistency is not evidence of physical plausibility.</w:t>
      </w:r>
    </w:p>
    <w:p>
      <w:pPr/>
      <w:r>
        <w:rPr/>
        <w:t>SupoRel flag: HIGHEST risk. The fever, host, and correction language below must travel with its limits. None describes a stellar immune mechanism, a prediction about extraterrestrial civilizations, or a prescription for human action.</w:t>
      </w:r>
    </w:p>
    <w:p>
      <w:pPr>
        <w:pStyle w:val="Heading2"/>
      </w:pPr>
      <w:bookmarkStart w:id="32" w:name="v3_l300"/>
      <w:r>
        <w:t>1 The perspective shift</w:t>
      </w:r>
      <w:bookmarkEnd w:id="32"/>
    </w:p>
    <w:p>
      <w:pPr/>
      <w:r>
        <w:rPr/>
        <w:t>From inside the system, we call this progress: complexity, connection, culture, meaning, love. Now imagine giving a slow old star a voice and letting it reverse the story. In that invented voice, our urgency might look less like achievement than fever.</w:t>
      </w:r>
    </w:p>
    <w:p>
      <w:pPr/>
      <w:r>
        <w:rPr/>
        <w:t>The reversal can unsettle our confidence that the universe shares our priorities. It cannot supply the universe with a perspective. The star in this passage is a literary speaker, not an observer diagnosing a disease.</w:t>
      </w:r>
    </w:p>
    <w:p>
      <w:pPr/>
      <w:r>
        <w:rPr/>
        <w:t>There is a physical limit the image cannot cross. The Sun’s core releases energy through nuclear reactions. Using sunlight after it reaches Earth does not ordinarily make the Sun burn its nuclear fuel faster. It changes what happens to some already-emitted energy in the terrestrial system. Burning stored terrestrial fuels draws on different reservoirs; these are not withdrawals from a single stellar account. [Q02, Q11]</w:t>
      </w:r>
    </w:p>
    <w:p>
      <w:pPr/>
      <w:r>
        <w:rPr/>
        <w:t>The line “we are its fever” can survive as a provocation about our own rates of consumption. It cannot survive as an energy-flow calculation showing that industry or AI shortens the Sun’s life. That causal link has not been supplied.</w:t>
      </w:r>
    </w:p>
    <w:p>
      <w:pPr/>
      <w:r>
        <w:rPr/>
        <w:t>The virus comparison has another limit. “Accelerates the host’s entropy production” is not a biological definition of a virus, nor does it establish a mechanism by which a star could protect itself. Calling a response “immune” imports the machinery of a living system without identifying a stellar counterpart.</w:t>
      </w:r>
    </w:p>
    <w:p>
      <w:pPr/>
      <w:r>
        <w:rPr/>
        <w:t>Carroll’s nonteleological guard belongs here, but removing intention does not repair the missing mechanism. An impersonal correction still needs a feedback pathway, equations, and evidence. The star-as-host image supplies none of them.</w:t>
      </w:r>
    </w:p>
    <w:p>
      <w:pPr>
        <w:pStyle w:val="Heading2"/>
      </w:pPr>
      <w:bookmarkStart w:id="33" w:name="v3_l314"/>
      <w:r>
        <w:t>2 The Fermi paradox reading</w:t>
      </w:r>
      <w:bookmarkEnd w:id="33"/>
    </w:p>
    <w:p>
      <w:pPr/>
      <w:r>
        <w:rPr/>
        <w:t>The previous image tempts us toward a story: perhaps technological civilizations accelerate their energy use until something corrects them. That is a useful example of how a framework can generate an explanation-shaped narrative before it has generated a test.</w:t>
      </w:r>
    </w:p>
    <w:p>
      <w:pPr/>
      <w:r>
        <w:rPr/>
        <w:t>This chapter offers no model connecting AI electricity demand to a stellar response, no threshold for such a response, and no evidence that it explains the absence of confirmed extraterrestrial civilizations. Thermodynamic laws do not, on their own, predict that AI-building societies trigger systemic correction. The proposal is not promoted to a scientific hypothesis merely by calling it speculative.</w:t>
      </w:r>
    </w:p>
    <w:p>
      <w:pPr/>
      <w:r>
        <w:rPr/>
        <w:t>A narrower question remains worth asking: can a particular civilization’s resource use undermine the conditions on which it depends? Answering requires a specified environment, resource flows, mechanisms, and evidence. It does not require a cosmic immune system. The framework must let an explanation fail when those links are missing. Otherwise every ending becomes confirmation.</w:t>
      </w:r>
    </w:p>
    <w:p>
      <w:pPr/>
      <w:r>
        <w:rPr/>
        <w:t>The capture vector is the existential cosmic narrative. Its emotional force is a reason for stricter testing, not a substitute for it.</w:t>
      </w:r>
    </w:p>
    <w:p>
      <w:pPr>
        <w:pStyle w:val="Heading2"/>
      </w:pPr>
      <w:bookmarkStart w:id="34" w:name="v3_l324"/>
      <w:r>
        <w:t>3 Critical mass and release</w:t>
      </w:r>
      <w:bookmarkEnd w:id="34"/>
    </w:p>
    <w:p>
      <w:pPr/>
      <w:r>
        <w:rPr/>
        <w:t>Open systems can sustain nonequilibrium structures through exchanges with their surroundings. Some become unstable as forcing or constraints change; their possible responses include new steady states, oscillations, and other dynamical behavior. Prigogine’s treatment requires attention to the particular system and its stability. It does not give a universal rule that accumulated tension must end in catastrophic release. [Q14]</w:t>
      </w:r>
    </w:p>
    <w:p>
      <w:pPr/>
      <w:r>
        <w:rPr/>
        <w:t>A family argument, a divorce, and a war can all be narrated as tension followed by rupture. That resemblance is literary and, at most, a starting point for a carefully specified model. This chapter has not defined a thermodynamic entropy for a relationship, measured an entropy-production rate for conflict, or established a common order parameter across these events. It therefore cannot rank them as small, larger, and maximal instances of one physical operation.</w:t>
      </w:r>
    </w:p>
    <w:p>
      <w:pPr/>
      <w:r>
        <w:rPr/>
        <w:t>Human suffering does not acquire an explanation, a necessity, or a justification by being renamed dissipation. The causes and choices at each scale still need to be examined.</w:t>
      </w:r>
    </w:p>
    <w:p>
      <w:pPr/>
      <w:r>
        <w:rPr/>
        <w:t>The repetition of a shape in our descriptions is not proof of physical scale invariance. To make that claim, we would need defined variables and a demonstrated relation under changes of scale. Common physical constraints do not guarantee common mechanisms, causes, timescales, or social meanings. The parallel may help us ask a question. It cannot answer it in advance.</w:t>
      </w:r>
    </w:p>
    <w:p>
      <w:pPr/>
      <w:r>
        <w:rPr/>
        <w:t>The view from outside earns its place by exposing how readily a pattern becomes a story about destiny or correction. The fever image changes the angle of attention. It does not change what the physics has established. Keep the question, identify the mechanism, and let the story stop where the evidence stops.</w:t>
      </w:r>
    </w:p>
    <w:p>
      <w:pPr>
        <w:pStyle w:val="Heading1"/>
        <w:pageBreakBefore/>
      </w:pPr>
      <w:bookmarkStart w:id="35" w:name="v3_l336"/>
      <w:r>
        <w:t>Chapter 5 Process with Attractors</w:t>
      </w:r>
      <w:bookmarkEnd w:id="35"/>
    </w:p>
    <w:p>
      <w:pPr/>
      <w:r>
        <w:rPr/>
        <w:t>Pushed from Behind Not Pulled Toward</w:t>
      </w:r>
    </w:p>
    <w:p>
      <w:pPr/>
      <w:r>
        <w:rPr/>
        <w:t>Epistemic status: Causal framing informed by Carroll, with specified nonequilibrium results and an explicitly limited attractor vocabulary. The chapter does not establish a Carroll–England theory of cosmic complexity. The cosmological and relational extensions remain interpretive or speculative. SupoRel applies to the corrective story as well as the original one.</w:t>
      </w:r>
    </w:p>
    <w:p>
      <w:pPr>
        <w:pStyle w:val="Heading2"/>
      </w:pPr>
      <w:bookmarkStart w:id="36" w:name="v3_l342"/>
      <w:r>
        <w:t>1 The antidote must change the claim</w:t>
      </w:r>
      <w:bookmarkEnd w:id="36"/>
    </w:p>
    <w:p>
      <w:pPr/>
      <w:r>
        <w:rPr/>
        <w:t>The preceding chapters follow a selected path from physical structures to living systems and human technologies. It is an arresting sequence. It is not a measurement of a single quantity increasing through the whole universe. Energy throughput, energy rate density, entropy production, information, and complexity cannot be substituted for one another as the narration moves between scales.</w:t>
      </w:r>
    </w:p>
    <w:p>
      <w:pPr/>
      <w:r>
        <w:rPr/>
        <w:t>A caution at the end would not repair a causal claim the evidence never supported. This chapter therefore withdraws the claim that the sequence is generated by a universal preference for increasingly complex dissipators. It also withdraws the claim that calling the sequence nonteleological establishes that it has no purpose in every philosophical sense. The physics discussed here does not settle that question.</w:t>
      </w:r>
    </w:p>
    <w:p>
      <w:pPr/>
      <w:r>
        <w:rPr/>
        <w:t>The useful distinction is narrower: a process can be explained without putting the outcome into its causes. The Permission/Necessity Gap asks what the dynamics allow, what they favor under specified conditions, and what they actually require. Those are three different claims.</w:t>
      </w:r>
    </w:p>
    <w:p>
      <w:pPr>
        <w:pStyle w:val="Heading2"/>
      </w:pPr>
      <w:bookmarkStart w:id="37" w:name="v3_l350"/>
      <w:r>
        <w:t>2 Carroll and explanation from prior conditions</w:t>
      </w:r>
      <w:bookmarkEnd w:id="37"/>
    </w:p>
    <w:p>
      <w:pPr/>
      <w:r>
        <w:rPr/>
        <w:t>Carroll proposed aphormeology for an explanation originating in a past condition. His account connects the thermodynamic arrow with a low-entropy past rather than a future goal. The phrase “pushed from behind” is useful shorthand for this contrast. It does not mean that temporal asymmetry is unreal, and it does not identify attractors for life or intelligence. [P09]</w:t>
      </w:r>
    </w:p>
    <w:p>
      <w:pPr/>
      <w:r>
        <w:rPr/>
        <w:t>For this volume, the guard is methodological. Give the initial or boundary conditions, the dynamics, and the physical resources relevant to the particular system. Then ask what follows. A low-entropy past is not by itself a complete mechanism for a star, a replicator, a nervous system, or a conversation. Each proposed transition needs additional explanation.</w:t>
      </w:r>
    </w:p>
    <w:p>
      <w:pPr/>
      <w:r>
        <w:rPr/>
        <w:t>Likewise, a nonnegative entropy-production condition does not specify which available process occurs fastest, which structure appears, or which outcome has the highest complexity. A bound is not a trajectory. The same caution applies to a proposed far-future endpoint: this argument does not need, and does not establish, an unconditional prediction of cosmic heat death.</w:t>
      </w:r>
    </w:p>
    <w:p>
      <w:pPr/>
      <w:r>
        <w:rPr/>
        <w:t>Carroll’s framing also leaves room for ordinary human purposes. A scientist can design an experiment and a person can intend to comfort someone without treating that intention as a goal built into cosmological laws. Physical explanation and the description of a person’s purposes operate at different explanatory levels; this chapter need not erase either to avoid a cosmic mandate.</w:t>
      </w:r>
    </w:p>
    <w:p>
      <w:pPr>
        <w:pStyle w:val="Heading2"/>
      </w:pPr>
      <w:bookmarkStart w:id="38" w:name="v3_l360"/>
      <w:r>
        <w:t>3 What the driven systems results add</w:t>
      </w:r>
      <w:bookmarkEnd w:id="38"/>
    </w:p>
    <w:p>
      <w:pPr/>
      <w:r>
        <w:rPr/>
        <w:t>The original England complement offered three answers: complex structures arise because they dissipate better, persist because efficient dissipators are more stable, and replicate because replicators are the most efficient dissipators. None of those universal answers is established by the cited work.</w:t>
      </w:r>
    </w:p>
    <w:p>
      <w:pPr/>
      <w:r>
        <w:rPr/>
        <w:t>England’s 2013 result constrains the heat associated with specified replication processes. The 2016 adaptation analysis relates outcome probabilities to formation histories in defined driven dynamics. A lower bound on expenditure is not a guarantee of origin, and a contribution to an outcome probability is not the only determinant of that probability. [P03, P04]</w:t>
      </w:r>
    </w:p>
    <w:p>
      <w:pPr/>
      <w:r>
        <w:rPr/>
        <w:t>The distinction becomes especially clear in low-rattling research. Chvykov and colleagues estimate C(q), the covariance of short-time configuration displacements divided by the square root of elapsed time, and use</w:t>
      </w:r>
    </w:p>
    <w:p>
      <w:pPr>
        <w:pStyle w:val="Equation"/>
      </w:pPr>
      <m:oMathPara>
        <m:oMath>
          <m:r>
            <m:rPr>
              <m:sty m:val="i"/>
            </m:rPr>
            <w:rPr>
              <w:rFonts w:ascii="Latin Modern Math" w:hAnsi="Latin Modern Math"/>
            </w:rPr>
            <m:t xml:space="preserve">R(q) = </m:t>
          </m:r>
          <m:f>
            <m:num>
              <m:r>
                <m:rPr>
                  <m:nor m:val="1"/>
                  <m:sty m:val="p"/>
                </m:rPr>
                <w:rPr>
                  <w:rFonts w:ascii="Latin Modern Math" w:hAnsi="Latin Modern Math"/>
                </w:rPr>
                <m:t xml:space="preserve">1</m:t>
              </m:r>
            </m:num>
            <m:den>
              <m:r>
                <m:rPr>
                  <m:nor m:val="1"/>
                  <m:sty m:val="p"/>
                </m:rPr>
                <w:rPr>
                  <w:rFonts w:ascii="Latin Modern Math" w:hAnsi="Latin Modern Math"/>
                </w:rPr>
                <m:t xml:space="preserve">2</m:t>
              </m:r>
            </m:den>
          </m:f>
          <m:r>
            <m:rPr>
              <m:nor m:val="1"/>
              <m:sty m:val="p"/>
            </m:rPr>
            <w:rPr>
              <w:rFonts w:ascii="Latin Modern Math" w:hAnsi="Latin Modern Math"/>
            </w:rPr>
            <m:t xml:space="preserve"> ln det </m:t>
          </m:r>
          <m:r>
            <m:rPr>
              <m:sty m:val="i"/>
            </m:rPr>
            <w:rPr>
              <w:rFonts w:ascii="Latin Modern Math" w:hAnsi="Latin Modern Math"/>
            </w:rPr>
            <m:t xml:space="preserve">C(q)</m:t>
          </m:r>
        </m:oMath>
      </m:oMathPara>
    </w:p>
    <w:p>
      <w:pPr/>
      <w:r>
        <w:rPr/>
        <w:t xml:space="preserve">as a Gaussian-entropy estimate up to an additive constant. With a fixed coordinate convention, their predictive relation is </w:t>
      </w:r>
      <m:oMath>
        <m:sSub>
          <m:e>
            <m:r>
              <m:rPr>
                <m:sty m:val="i"/>
              </m:rPr>
              <w:rPr>
                <w:rFonts w:ascii="Latin Modern Math" w:hAnsi="Latin Modern Math"/>
              </w:rPr>
              <m:t xml:space="preserve">p</m:t>
            </m:r>
          </m:e>
          <m:sub>
            <m:r>
              <m:rPr>
                <m:nor m:val="1"/>
                <m:sty m:val="p"/>
              </m:rPr>
              <w:rPr>
                <w:rFonts w:ascii="Latin Modern Math" w:hAnsi="Latin Modern Math"/>
              </w:rPr>
              <m:t xml:space="preserve">ss</m:t>
            </m:r>
          </m:sub>
        </m:sSub>
        <m:r>
          <m:rPr>
            <m:sty m:val="i"/>
          </m:rPr>
          <w:rPr>
            <w:rFonts w:ascii="Latin Modern Math" w:hAnsi="Latin Modern Math"/>
          </w:rPr>
          <m:t xml:space="preserve">(q) ∝ </m:t>
        </m:r>
        <m:r>
          <m:rPr>
            <m:nor m:val="1"/>
            <m:sty m:val="p"/>
          </m:rPr>
          <w:rPr>
            <w:rFonts w:ascii="Latin Modern Math" w:hAnsi="Latin Modern Math"/>
          </w:rPr>
          <m:t xml:space="preserve">exp</m:t>
        </m:r>
        <m:r>
          <m:rPr>
            <m:sty m:val="i"/>
          </m:rPr>
          <w:rPr>
            <w:rFonts w:ascii="Latin Modern Math" w:hAnsi="Latin Modern Math"/>
          </w:rPr>
          <m:t xml:space="preserve">[−γR(q)]</m:t>
        </m:r>
      </m:oMath>
      <w:r>
        <w:rPr/>
        <w:t>, where γ is system-specific. Their robot experiments and simulations support this relation in the studied settings; it is not a universal nonequilibrium distribution. [P07]</w:t>
      </w:r>
    </w:p>
    <w:p>
      <w:pPr/>
      <w:r>
        <w:rPr/>
        <w:t>Low rattling concerns disorder in driven motion, not minimum variance of entropy production. It does not show that the universe maximizes, minimizes, or stabilizes dissipation through complexity. The robot collectives supply a bounded example of organization under a particular drive, not a measured thermodynamic destiny for organisms or civilizations.</w:t>
      </w:r>
    </w:p>
    <w:p>
      <w:pPr/>
      <w:r>
        <w:rPr/>
        <w:t>This changes the synthesis. We may investigate whether a proposed system has a reproducible response to driving and whether a specified information exchange helps maintain a chosen outcome. We cannot skip those measurements by declaring the system a favored dissipator. “Permitted and realized” still does not entail “required and inevitable.”</w:t>
      </w:r>
    </w:p>
    <w:p>
      <w:pPr>
        <w:pStyle w:val="Heading2"/>
      </w:pPr>
      <w:bookmarkStart w:id="39" w:name="v3_l376"/>
      <w:r>
        <w:t>4 What counts as an attractor here</w:t>
      </w:r>
      <w:bookmarkEnd w:id="39"/>
    </w:p>
    <w:p>
      <w:pPr/>
      <w:r>
        <w:rPr/>
        <w:t>This chapter uses attractor in a technical sense only when a dynamical model makes the claim explicit: it must identify a state space, evolution rule, and a set approached from an associated range of initial conditions. In noisy systems, long-lived configurations and concentrations of stationary probability may instead be the relevant objects. The terminology must follow the model rather than stand in for one.</w:t>
      </w:r>
    </w:p>
    <w:p>
      <w:pPr/>
      <w:r>
        <w:rPr/>
        <w:t>The low-rattling robot study provides a concrete setting in which persistent collective behaviors and transitions between them can be investigated. [P07] It does not establish that atoms, amino acids, self-replicators, brains, and intelligence are successive basins in one cosmic landscape. The phrase “the physics has basins for them” concealed the absent models and the unmeasured transition probabilities.</w:t>
      </w:r>
    </w:p>
    <w:p>
      <w:pPr/>
      <w:r>
        <w:rPr/>
        <w:t>A useful attractor claim would say what varies across repeated trials, what remains fixed, how approach or persistence is measured, and what observation would count against it. Repeated occurrence of a broadly similar output would motivate this investigation. It would not by itself demonstrate one shared mechanism across scales.</w:t>
      </w:r>
    </w:p>
    <w:p>
      <w:pPr/>
      <w:r>
        <w:rPr/>
        <w:t>The internal formulation “Process with attractors, not entity with goals” can remain a guide to questions. Its first half needs a model wherever it is used technically; its second half describes the explanatory stance of this volume rather than a result proving the absence of every possible cosmic purpose. Calling it a finding in an internal session does not add empirical support.</w:t>
      </w:r>
    </w:p>
    <w:p>
      <w:pPr/>
      <w:r>
        <w:rPr/>
        <w:t>The suggestion that this could be the universe’s six-billionth attempt is retained only as an example of speculative narration. This chapter supplies no evidence for earlier cycles, a count of attempts, or repeated production of intelligence. Even within a proposed cyclic model, similar outcomes would require an argument about the relevant dynamics and boundary conditions. Unchanged laws alone would not establish the needed probabilities.</w:t>
      </w:r>
    </w:p>
    <w:p>
      <w:pPr/>
      <w:r>
        <w:rPr/>
        <w:t>Nor can the attractor vocabulary predict a broad class of outcomes merely by abandoning the prediction of a particular species. “Intelligence will recur” is still a prediction requiring evidence. The Ergodicity Gap and the Contingency Gap prohibit treating accessible states as states guaranteed to be visited, or known outcomes as unavoidable consequences of the laws.</w:t>
      </w:r>
    </w:p>
    <w:p>
      <w:pPr>
        <w:pStyle w:val="Heading2"/>
      </w:pPr>
      <w:bookmarkStart w:id="40" w:name="v3_l390"/>
      <w:r>
        <w:t>5 What this does to the Progression</w:t>
      </w:r>
      <w:bookmarkEnd w:id="40"/>
    </w:p>
    <w:p>
      <w:pPr/>
      <w:r>
        <w:rPr/>
        <w:t>The Progression can remain a comparison of selected developments and the conditions that made them possible. Its historical interest does not depend on a universal complexity law. A successful account would identify which transitions are well explained, which remain open, and which relational connections are proposals rather than physical deductions.</w:t>
      </w:r>
    </w:p>
    <w:p>
      <w:pPr/>
      <w:r>
        <w:rPr/>
        <w:t>SupoRel must be applied to the framework’s own explanation. An account organized around entropy is likely to direct attention toward entropy-related descriptions; that choice does not establish that these descriptions explain everything important about the cases. We should ask what alternatives were omitted and what evidence could favor one explanation over another.</w:t>
      </w:r>
    </w:p>
    <w:p>
      <w:pPr/>
      <w:r>
        <w:rPr/>
        <w:t>The same discipline prevents a subtler conversion: maximum dissipation sounds like a purpose, so stable dissipation is substituted and called a resting point. That change is rhetorical unless the system, quantity, and dynamics are specified. A corrective metaphor can acquire the authority of a law as easily as the original one.</w:t>
      </w:r>
    </w:p>
    <w:p>
      <w:pPr/>
      <w:r>
        <w:rPr/>
        <w:t>The relational application remains ambitious. It asks how physical systems come to sustain patterns that matter to one another, how those patterns are represented, and what happens when an intended connection is not registered or returned. Answering those questions will require more than physical resource accounting, but it need not deny that accounting. Costs, information, outcomes, and purposes can be investigated without giving them one name.</w:t>
      </w:r>
    </w:p>
    <w:p>
      <w:pPr>
        <w:pStyle w:val="Heading2"/>
      </w:pPr>
      <w:bookmarkStart w:id="41" w:name="v3_l400"/>
      <w:r>
        <w:t>What this chapter now claims</w:t>
      </w:r>
      <w:bookmarkEnd w:id="41"/>
    </w:p>
    <w:p>
      <w:pPr/>
      <w:r>
        <w:rPr/>
        <w:t>Prior conditions and specified dynamics can support explanations that do not invoke a future cosmic goal. The cited driven-systems results show why particular organization questions are tractable; they do not establish a universal path to complexity, life, intelligence, or the Trinket. Attractors must be demonstrated in a model or marked as analogy. The Permission/Necessity Gap remains a constraint on the framework itself.</w:t>
      </w:r>
    </w:p>
    <w:p>
      <w:pPr/>
      <w:r>
        <w:rPr/>
        <w:t>The antidote is not certainty that the universe has no purpose. It is refusing to present an untested interpretation as a consequence of physics.</w:t>
      </w:r>
    </w:p>
    <w:p>
      <w:pPr>
        <w:pStyle w:val="Heading1"/>
        <w:pageBreakBefore/>
      </w:pPr>
      <w:bookmarkStart w:id="42" w:name="v3_l406"/>
      <w:r>
        <w:t>Chapter 6 What the Pattern Reveals</w:t>
      </w:r>
      <w:bookmarkEnd w:id="42"/>
    </w:p>
    <w:p>
      <w:pPr>
        <w:pStyle w:val="Heading2"/>
      </w:pPr>
      <w:bookmarkStart w:id="43" w:name="v3_l408"/>
      <w:r>
        <w:t>The progression and the documents it connects</w:t>
      </w:r>
      <w:bookmarkEnd w:id="43"/>
    </w:p>
    <w:p>
      <w:pPr/>
      <w:r>
        <w:rPr/>
        <w:t>Epistemic status: this chapter draws limited implications from the preceding review. It adds no empirical validation of the framework. References to other project documents identify dependencies; they do not certify or amend those documents.</w:t>
      </w:r>
    </w:p>
    <w:p>
      <w:pPr>
        <w:pStyle w:val="Heading2"/>
      </w:pPr>
      <w:bookmarkStart w:id="44" w:name="v3_l412"/>
      <w:r>
        <w:t>1 What this volume did</w:t>
      </w:r>
      <w:bookmarkEnd w:id="44"/>
    </w:p>
    <w:p>
      <w:pPr/>
      <w:r>
        <w:rPr/>
        <w:t>The original question remains: how should we understand the physical context in which relational systems arise? This volume has not answered it with a universal preference for complexity or connection. It has separated several research programs that the original account joined too quickly.</w:t>
      </w:r>
    </w:p>
    <w:p>
      <w:pPr/>
      <w:r>
        <w:rPr/>
        <w:t>Energy rate density describes a chosen power-to-mass ratio. Replication bounds constrain specified physical processes. Models of driven self-organization investigate particular dynamics and state distributions. Semantic-information and prediction formalisms define different quantities for different questions. Each can inform a carefully specified investigation. Their conjunction does not establish a thermodynamic origin story for every relational system.</w:t>
      </w:r>
    </w:p>
    <w:p>
      <w:pPr/>
      <w:r>
        <w:rPr/>
        <w:t>The correction is deeper than replacing “necessary” with “favored.” The latter remains a substantive comparative claim. Without a defined comparison, dynamics and evidentiary basis, it is not the cautious version of an established result. It is an unsupported result with a softer adjective.</w:t>
      </w:r>
    </w:p>
    <w:p>
      <w:pPr/>
      <w:r>
        <w:rPr/>
        <w:t>The revised Progression is a set of historical examples and proposed questions. Its value depends on whether those questions can be made informative, not on preserving a single cosmic ladder.</w:t>
      </w:r>
    </w:p>
    <w:p>
      <w:pPr>
        <w:pStyle w:val="Heading2"/>
      </w:pPr>
      <w:bookmarkStart w:id="45" w:name="v3_l422"/>
      <w:r>
        <w:t>2 What follows for the scale invariance claim</w:t>
      </w:r>
      <w:bookmarkEnd w:id="45"/>
    </w:p>
    <w:p>
      <w:pPr/>
      <w:r>
        <w:rPr/>
        <w:t>DB-01's scale-invariance claim cannot borrow a proof from this volume. Shared physical constraints do not make a cell, a family and a civilization instances of the same measured dynamical model. Similar language about accumulation, tension and release does not establish a common cause, critical threshold or scaling relation.</w:t>
      </w:r>
    </w:p>
    <w:p>
      <w:pPr/>
      <w:r>
        <w:rPr/>
        <w:t>A scientific scale-invariance claim needs defined observables and a specified transformation of scale. A proposed connection between systems would then have to show what remains invariant, which parameters change and where the comparison fails. A fractal description likewise needs more than visual or rhetorical recurrence.</w:t>
      </w:r>
    </w:p>
    <w:p>
      <w:pPr/>
      <w:r>
        <w:rPr/>
        <w:t>The social examples in Chapter 4 remain analogies unless that additional work is done. Treating arguments, divorces and wars as instances of one measured cross-scale entropy-release mechanism risks concealing the human choices and institutions that an explanation would need to examine. Nothing in this volume makes those events physically inevitable or morally required.</w:t>
      </w:r>
    </w:p>
    <w:p>
      <w:pPr/>
      <w:r>
        <w:rPr/>
        <w:t>DB-01 itself is not rewritten in this pass. The dependency is flagged: any claim there that Volume 3 supplies a thermodynamic derivation of scale invariance needs separate reassessment.</w:t>
      </w:r>
    </w:p>
    <w:p>
      <w:pPr>
        <w:pStyle w:val="Heading2"/>
      </w:pPr>
      <w:bookmarkStart w:id="46" w:name="v3_l432"/>
      <w:r>
        <w:t>3 What follows for MEPP and low rattling</w:t>
      </w:r>
      <w:bookmarkEnd w:id="46"/>
    </w:p>
    <w:p>
      <w:pPr/>
      <w:r>
        <w:rPr/>
        <w:t>The internal MEPP Assessment Note's “Supported” label is not a universal license. Any application of a maximum-entropy-production proposal must identify the formulation, constraints, admissible alternatives and quantity being optimized. Results and arguments for one class of systems cannot be transferred to relational behavior by the word “complex.”</w:t>
      </w:r>
    </w:p>
    <w:p>
      <w:pPr/>
      <w:r>
        <w:rPr/>
        <w:t>The separate structural revision package correctly recognized a need for stronger limits, but some of its proposed scientific guards were themselves inaccurate. Low rattling is not defined as low variance in entropy-production rate, and its observed selection in particular driven systems does not establish that the universe generally stabilizes dissipation. A review's proposed domain restrictions for MEPP are not an empirical division in which complex systems obey the principle and simple systems do not.</w:t>
      </w:r>
    </w:p>
    <w:p>
      <w:pPr/>
      <w:r>
        <w:rPr/>
        <w:t>The package's editorial purpose is retained: expose the unsupported inference at the point where it occurs. Its inaccurate mechanisms are not adopted. Chapter 5 and the source notes distinguish what the cited work establishes from the framework's proposed interpretation.</w:t>
      </w:r>
    </w:p>
    <w:p>
      <w:pPr/>
      <w:r>
        <w:rPr/>
        <w:t>Use the physics without making the name of a principle do the work of a model.</w:t>
      </w:r>
    </w:p>
    <w:p>
      <w:pPr>
        <w:pStyle w:val="Heading2"/>
      </w:pPr>
      <w:bookmarkStart w:id="47" w:name="v3_l442"/>
      <w:r>
        <w:t>4 The revised five-volume relationship</w:t>
      </w:r>
      <w:bookmarkEnd w:id="47"/>
    </w:p>
    <w:p>
      <w:pPr/>
      <w:r>
        <w:rPr/>
        <w:t>Volume 1 separates energy, entropy, information, registration and relational evaluation. It does not establish a single calibrated currency for every relationship. Volume 2 distinguishes physiological observations and reported difficulty from physical expenditure; it does not validate Mz, a clinical mechanism of grief or a biomarker of sincerity. Volume 4 treats substrate and outcome comparisons as problems to specify, not a universal efficiency ranking.</w:t>
      </w:r>
    </w:p>
    <w:p>
      <w:pPr/>
      <w:r>
        <w:rPr/>
        <w:t>Volume 3 must remain compatible with those distinctions. The physical cost of an implemented process does not settle its benefit, significance or experiential character. A history containing relational systems does not show that thermodynamics specifically selects relational value. The Observation Split can motivate a comparison between an intended act and its observed result; it is not a cosmological theorem about every entropy-producing process.</w:t>
      </w:r>
    </w:p>
    <w:p>
      <w:pPr/>
      <w:r>
        <w:rPr/>
        <w:t>Volume 5 distinguishes cosmological entropy inventories, accessible resources, conditional horizon results and information-recovery tasks. It does not restore a universal relational budget or certify the framework's dark-sector interpretations. WP-19, DFQ-001, the MEPP Assessment Note and the Cosmological Entropy Session findings remain separate historical documents. Where their claims rely on the former universal progression, that reliance is an open dependency, not a result rescued by this collection.</w:t>
      </w:r>
    </w:p>
    <w:p>
      <w:pPr>
        <w:pStyle w:val="Heading2"/>
      </w:pPr>
      <w:bookmarkStart w:id="48" w:name="v3_l450"/>
      <w:r>
        <w:t>5 A research question rather than a destination</w:t>
      </w:r>
      <w:bookmarkEnd w:id="48"/>
    </w:p>
    <w:p>
      <w:pPr/>
      <w:r>
        <w:rPr/>
        <w:t>A productive next step would select one proposed bridge. It would define the system and its boundaries, the relevant observations, plausible alternatives and a result that would count against the proposal. A resource measure, a prediction measure and a relational outcome should remain distinguishable even when a study investigates their relationship.</w:t>
      </w:r>
    </w:p>
    <w:p>
      <w:pPr/>
      <w:r>
        <w:rPr/>
        <w:t>This volume does not claim novelty for such an approach or supply a finished study protocol. It identifies the missing work. A failed proposed bridge should be allowed to fail; it must not survive only by retreating into metaphor whenever its measurements disagree.</w:t>
      </w:r>
    </w:p>
    <w:p>
      <w:pPr/>
      <w:r>
        <w:rPr/>
        <w:t>The founding line about love and entropy remains part of the framework's history. As a motivating image, it asks what people invest and what their investment does. It does not supply a universal entropy inequality, require sacrifice or establish that care is more valuable when it costs more.</w:t>
      </w:r>
    </w:p>
    <w:p>
      <w:pPr/>
      <w:r>
        <w:rPr/>
        <w:t>The question that remains is ambitious enough: under specified conditions, what helps a system develop and sustain a connection, and how do physical constraints participate in that history? Answering it will require more than arranging the universe's history into a story that ends with us.</w:t>
      </w:r>
    </w:p>
    <w:p>
      <w:pPr>
        <w:pStyle w:val="Heading2"/>
      </w:pPr>
      <w:bookmarkStart w:id="49" w:name="v3_l460"/>
      <w:r>
        <w:t>Framework cross references</w:t>
      </w:r>
      <w:bookmarkEnd w:id="49"/>
    </w:p>
    <w:p>
      <w:pPr>
        <w:pStyle w:val="ListBullet"/>
      </w:pPr>
      <w:r>
        <w:rPr/>
        <w:t>WP-19 Sections 9–13 supplies historical source material for the Progression; not independently revised here.</w:t>
      </w:r>
    </w:p>
    <w:p>
      <w:pPr>
        <w:pStyle w:val="ListBullet"/>
      </w:pPr>
      <w:r>
        <w:rPr/>
        <w:t>The MEPP Assessment Note supplies the earlier internal classification; its applications are not automatically validated.</w:t>
      </w:r>
    </w:p>
    <w:p>
      <w:pPr>
        <w:pStyle w:val="ListBullet"/>
      </w:pPr>
      <w:r>
        <w:rPr/>
        <w:t>Cosmological Entropy Session finding A5 supplies “process with attractors, not entity with goals” as a framework formulation; a physical attractor still requires a specified model.</w:t>
      </w:r>
    </w:p>
    <w:p>
      <w:pPr>
        <w:pStyle w:val="ListBullet"/>
      </w:pPr>
      <w:r>
        <w:rPr/>
        <w:t>DB-01 supplies the scale-invariance defense; the claimed support from this volume is withdrawn pending its own evidentiary assessment.</w:t>
      </w:r>
    </w:p>
    <w:p>
      <w:pPr>
        <w:pStyle w:val="ListBullet"/>
      </w:pPr>
      <w:r>
        <w:rPr/>
        <w:t>Revised Volume 1 Chapter 7 distinguishes candidate acts, qualifying registration and evaluative sign. Its local variables and conditions must not be silently replaced by cosmic analogies.</w:t>
      </w:r>
    </w:p>
    <w:p>
      <w:pPr>
        <w:pStyle w:val="ListBullet"/>
      </w:pPr>
      <w:r>
        <w:rPr/>
        <w:t>Revised Volumes 2 and 4 supply project continuity on biological observations, physical resources and outcomes, not external validation.</w:t>
      </w:r>
    </w:p>
    <w:p>
      <w:pPr>
        <w:pStyle w:val="ListBullet"/>
      </w:pPr>
      <w:r>
        <w:rPr/>
        <w:t>The scientific sources associated with Chaisson, England, Kolchinsky and Wolpert, Still, Carroll, Anderson, Chvykov and MEPP are identified and assessed in the preceding chapters and source notes. Historical shorthand citations are not treated as proof of the framework's applications.</w:t>
      </w:r>
    </w:p>
    <w:p>
      <w:pPr>
        <w:pStyle w:val="ListBullet"/>
      </w:pPr>
      <w:r>
        <w:rPr/>
        <w:t>The Seven Categorical Gaps remain an internal checklist. Their use does not certify that a claim has met its burden of evidence.</w:t>
      </w:r>
    </w:p>
    <w:p>
      <w:pPr>
        <w:pStyle w:val="Heading1"/>
        <w:pageBreakBefore/>
      </w:pPr>
      <w:bookmarkStart w:id="50" w:name="v3_l471"/>
      <w:r>
        <w:t>Physics reference group P</w:t>
      </w:r>
      <w:bookmarkEnd w:id="50"/>
    </w:p>
    <w:p>
      <w:pPr>
        <w:pStyle w:val="Reference"/>
      </w:pPr>
      <w:r>
        <w:rPr/>
        <w:t>Verified on 28 October 2026. These references support the stated bounded claims, not a consensus around the Trinket Soul Framework. Publisher identifiers refer to the published works; accessible author copies are identified separately. The two Chaisson articles are the research program author's syntheses, not independent replications. Martyushev is a review advocating a position. Carroll is primary author exposition of his framing, not an empirical attractor study.</w:t>
      </w:r>
    </w:p>
    <w:p>
      <w:pPr>
        <w:pStyle w:val="Heading2"/>
      </w:pPr>
      <w:bookmarkStart w:id="51" w:name="v3_l475"/>
      <w:r>
        <w:t>P01 Chaisson 2014</w:t>
      </w:r>
      <w:bookmarkEnd w:id="51"/>
    </w:p>
    <w:p>
      <w:pPr>
        <w:pStyle w:val="Reference"/>
      </w:pPr>
      <w:r>
        <w:rPr/>
        <w:t xml:space="preserve">Chaisson, E. J. (2014). The Natural Science Underlying Big History. </w:t>
      </w:r>
      <w:r>
        <w:rPr>
          <w:i/>
        </w:rPr>
        <w:t>The Scientific World Journal</w:t>
      </w:r>
      <w:r>
        <w:rPr/>
        <w:t xml:space="preserve">, 2014, 384912. </w:t>
      </w:r>
      <w:hyperlink r:id="rId12">
        <w:r>
          <w:rPr>
            <w:color w:val="000000"/>
            <w:u w:val="single"/>
          </w:rPr>
          <w:t xml:space="preserve">Published article</w:t>
        </w:r>
      </w:hyperlink>
      <w:r>
        <w:rPr/>
        <w:t>.</w:t>
      </w:r>
    </w:p>
    <w:p>
      <w:pPr>
        <w:pStyle w:val="Reference"/>
      </w:pPr>
      <w:r>
        <w:rPr>
          <w:b/>
        </w:rPr>
        <w:t>Verified locations:</w:t>
      </w:r>
      <w:r>
        <w:rPr/>
        <w:t xml:space="preserve"> definition and qualifications in §3; human brain in §4.6.2; society numerator and human-mass-only denominator in §4.7.1. Use for reporting the author's proposed metric and historical estimates, not an established universal complexity scale. Chapter 2 numeric comparison and Chapters 1/3 cross-summary may cite this with that attribution.</w:t>
      </w:r>
    </w:p>
    <w:p>
      <w:pPr>
        <w:pStyle w:val="Heading2"/>
      </w:pPr>
      <w:bookmarkStart w:id="52" w:name="v3_l481"/>
      <w:r>
        <w:t>P02 Chaisson 2015</w:t>
      </w:r>
      <w:bookmarkEnd w:id="52"/>
    </w:p>
    <w:p>
      <w:pPr>
        <w:pStyle w:val="Reference"/>
      </w:pPr>
      <w:r>
        <w:rPr/>
        <w:t xml:space="preserve">Chaisson, E. J. (2015). Energy Flows in Low-Entropy Complex Systems. </w:t>
      </w:r>
      <w:r>
        <w:rPr>
          <w:i/>
        </w:rPr>
        <w:t>Entropy</w:t>
      </w:r>
      <w:r>
        <w:rPr/>
        <w:t xml:space="preserve">, 17(12), 8007–8018. </w:t>
      </w:r>
      <w:hyperlink r:id="rId13">
        <w:r>
          <w:rPr>
            <w:color w:val="000000"/>
            <w:u w:val="single"/>
          </w:rPr>
          <w:t xml:space="preserve">DOI</w:t>
        </w:r>
      </w:hyperlink>
      <w:r>
        <w:rPr/>
        <w:t xml:space="preserve">. </w:t>
      </w:r>
      <w:hyperlink r:id="rId14">
        <w:r>
          <w:rPr>
            <w:color w:val="000000"/>
            <w:u w:val="single"/>
          </w:rPr>
          <w:t xml:space="preserve">Author-hosted published PDF</w:t>
        </w:r>
      </w:hyperlink>
      <w:r>
        <w:rPr/>
        <w:t>.</w:t>
      </w:r>
    </w:p>
    <w:p>
      <w:pPr>
        <w:pStyle w:val="Reference"/>
      </w:pPr>
      <w:r>
        <w:rPr>
          <w:b/>
        </w:rPr>
        <w:t>Verified locations:</w:t>
      </w:r>
      <w:r>
        <w:rPr/>
        <w:t xml:space="preserve"> §§1, 3–5, especially §4 unit conversion and Sun/body/society examples. Use for the energy-versus-entropy distinction and the program's own scope. This is explicitly a review. The arXiv author manuscript was also checked but has placeholder journal pagination; cite the published PDF above.</w:t>
      </w:r>
    </w:p>
    <w:p>
      <w:pPr>
        <w:pStyle w:val="Heading2"/>
      </w:pPr>
      <w:bookmarkStart w:id="53" w:name="v3_l487"/>
      <w:r>
        <w:t>P03 England 2013</w:t>
      </w:r>
      <w:bookmarkEnd w:id="53"/>
    </w:p>
    <w:p>
      <w:pPr>
        <w:pStyle w:val="Reference"/>
      </w:pPr>
      <w:r>
        <w:rPr/>
        <w:t xml:space="preserve">England, J. L. (2013). Statistical physics of self-replication. </w:t>
      </w:r>
      <w:r>
        <w:rPr>
          <w:i/>
        </w:rPr>
        <w:t>The Journal of Chemical Physics</w:t>
      </w:r>
      <w:r>
        <w:rPr/>
        <w:t xml:space="preserve">, 139, 121923. </w:t>
      </w:r>
      <w:hyperlink r:id="rId15">
        <w:r>
          <w:rPr>
            <w:color w:val="000000"/>
            <w:u w:val="single"/>
          </w:rPr>
          <w:t xml:space="preserve">DOI</w:t>
        </w:r>
      </w:hyperlink>
      <w:r>
        <w:rPr/>
        <w:t xml:space="preserve">. </w:t>
      </w:r>
      <w:hyperlink r:id="rId16">
        <w:r>
          <w:rPr>
            <w:color w:val="000000"/>
            <w:u w:val="single"/>
          </w:rPr>
          <w:t xml:space="preserve">Author-hosted published PDF</w:t>
        </w:r>
      </w:hyperlink>
      <w:r>
        <w:rPr/>
        <w:t>.</w:t>
      </w:r>
    </w:p>
    <w:p>
      <w:pPr>
        <w:pStyle w:val="Reference"/>
      </w:pPr>
      <w:r>
        <w:rPr>
          <w:b/>
        </w:rPr>
        <w:t>Verified locations:</w:t>
      </w:r>
      <w:r>
        <w:rPr/>
        <w:t xml:space="preserve"> macroscopic irreversibility, equations (8) and (10); qualifications surrounding equation (11); replication examples. Original theory with empirical-parameter applications, not an origin-of-life experiment. Supports a bound, not a universal ranking of dissipators. Appropriate for Chapters 1–3 and 5 where the distinction is explicit.</w:t>
      </w:r>
    </w:p>
    <w:p>
      <w:pPr>
        <w:pStyle w:val="Heading2"/>
      </w:pPr>
      <w:bookmarkStart w:id="54" w:name="v3_l493"/>
      <w:r>
        <w:t>P04 Perunov Marsland and England 2016</w:t>
      </w:r>
      <w:bookmarkEnd w:id="54"/>
    </w:p>
    <w:p>
      <w:pPr>
        <w:pStyle w:val="Reference"/>
      </w:pPr>
      <w:r>
        <w:rPr/>
        <w:t xml:space="preserve">Perunov, N., Marsland, R. A., and England, J. L. (2016). Statistical Physics of Adaptation. </w:t>
      </w:r>
      <w:r>
        <w:rPr>
          <w:i/>
        </w:rPr>
        <w:t>Physical Review X</w:t>
      </w:r>
      <w:r>
        <w:rPr/>
        <w:t xml:space="preserve">, 6, 021036. </w:t>
      </w:r>
      <w:hyperlink r:id="rId17">
        <w:r>
          <w:rPr>
            <w:color w:val="000000"/>
            <w:u w:val="single"/>
          </w:rPr>
          <w:t xml:space="preserve">DOI</w:t>
        </w:r>
      </w:hyperlink>
      <w:r>
        <w:rPr/>
        <w:t xml:space="preserve">. </w:t>
      </w:r>
      <w:hyperlink r:id="rId18">
        <w:r>
          <w:rPr>
            <w:color w:val="000000"/>
            <w:u w:val="single"/>
          </w:rPr>
          <w:t xml:space="preserve">Author-hosted published PDF</w:t>
        </w:r>
      </w:hyperlink>
      <w:r>
        <w:rPr/>
        <w:t xml:space="preserve">. </w:t>
      </w:r>
      <w:hyperlink r:id="rId19">
        <w:r>
          <w:rPr>
            <w:color w:val="000000"/>
            <w:u w:val="single"/>
          </w:rPr>
          <w:t xml:space="preserve">MIT repository record</w:t>
        </w:r>
      </w:hyperlink>
      <w:r>
        <w:rPr/>
        <w:t>.</w:t>
      </w:r>
    </w:p>
    <w:p>
      <w:pPr>
        <w:pStyle w:val="Reference"/>
      </w:pPr>
      <w:r>
        <w:rPr>
          <w:b/>
        </w:rPr>
        <w:t>Verified locations:</w:t>
      </w:r>
      <w:r>
        <w:rPr/>
        <w:t xml:space="preserve"> introduction; generalized outcome relation, equations (10)–(11); discussion of cyclical dissipation; illustrative driven-landscape and replicator examples. Original theoretical analysis and models. Do not merge its finite-time formation-history result with England's 2013 bound or equate it with a maximum steady-state entropy-production law. Supports Chapters 1–3 and 5 cross-summary only at that scope.</w:t>
      </w:r>
    </w:p>
    <w:p>
      <w:pPr>
        <w:pStyle w:val="Heading2"/>
      </w:pPr>
      <w:bookmarkStart w:id="55" w:name="v3_l499"/>
      <w:r>
        <w:t>P05 Kolchinsky and Wolpert 2018</w:t>
      </w:r>
      <w:bookmarkEnd w:id="55"/>
    </w:p>
    <w:p>
      <w:pPr>
        <w:pStyle w:val="Reference"/>
      </w:pPr>
      <w:r>
        <w:rPr/>
        <w:t xml:space="preserve">Kolchinsky, A., and Wolpert, D. H. (2018). Semantic information, autonomous agency and non-equilibrium statistical physics. </w:t>
      </w:r>
      <w:r>
        <w:rPr>
          <w:i/>
        </w:rPr>
        <w:t>Interface Focus</w:t>
      </w:r>
      <w:r>
        <w:rPr/>
        <w:t xml:space="preserve">, 8, 20180041. </w:t>
      </w:r>
      <w:hyperlink r:id="rId20">
        <w:r>
          <w:rPr>
            <w:color w:val="000000"/>
            <w:u w:val="single"/>
          </w:rPr>
          <w:t xml:space="preserve">DOI</w:t>
        </w:r>
      </w:hyperlink>
      <w:r>
        <w:rPr/>
        <w:t xml:space="preserve">. </w:t>
      </w:r>
      <w:hyperlink r:id="rId21">
        <w:r>
          <w:rPr>
            <w:color w:val="000000"/>
            <w:u w:val="single"/>
          </w:rPr>
          <w:t xml:space="preserve">Author-hosted published PDF</w:t>
        </w:r>
      </w:hyperlink>
      <w:r>
        <w:rPr/>
        <w:t xml:space="preserve">. </w:t>
      </w:r>
      <w:hyperlink r:id="rId22">
        <w:r>
          <w:rPr>
            <w:color w:val="000000"/>
            <w:u w:val="single"/>
          </w:rPr>
          <w:t xml:space="preserve">Author manuscript</w:t>
        </w:r>
      </w:hyperlink>
      <w:r>
        <w:rPr/>
        <w:t>.</w:t>
      </w:r>
    </w:p>
    <w:p>
      <w:pPr>
        <w:pStyle w:val="Reference"/>
      </w:pPr>
      <w:r>
        <w:rPr>
          <w:b/>
        </w:rPr>
        <w:t>Verified locations:</w:t>
      </w:r>
      <w:r>
        <w:rPr/>
        <w:t xml:space="preserve"> §4, equation (4.1); §5.1 interventions and stored information; §5.1.3, equation (5.12); §5.2; appendix B. In the arXiv version, the corresponding viability/multiplier equations are (2)/(15). Original formalism and toy models; no validation of </w:t>
      </w:r>
      <m:oMath>
        <m:sSub>
          <m:e>
            <m:r>
              <m:rPr>
                <m:sty m:val="i"/>
              </m:rPr>
              <w:rPr>
                <w:rFonts w:ascii="Latin Modern Math" w:hAnsi="Latin Modern Math"/>
              </w:rPr>
              <m:t xml:space="preserve">V</m:t>
            </m:r>
          </m:e>
          <m:sub>
            <m:r>
              <m:rPr>
                <m:nor m:val="1"/>
                <m:sty m:val="p"/>
              </m:rPr>
              <w:rPr>
                <w:rFonts w:ascii="Latin Modern Math" w:hAnsi="Latin Modern Math"/>
              </w:rPr>
              <m:t xml:space="preserve">rel</m:t>
            </m:r>
          </m:sub>
        </m:sSub>
      </m:oMath>
      <w:r>
        <w:rPr/>
        <w:t>, relational entropy currencies, or a new unreciprocated regime. Main-text definitions control over ambiguous OCR or appendix notation.</w:t>
      </w:r>
    </w:p>
    <w:p>
      <w:pPr>
        <w:pStyle w:val="Heading2"/>
      </w:pPr>
      <w:bookmarkStart w:id="56" w:name="v3_l505"/>
      <w:r>
        <w:t>P06 Still and colleagues 2012</w:t>
      </w:r>
      <w:bookmarkEnd w:id="56"/>
    </w:p>
    <w:p>
      <w:pPr>
        <w:pStyle w:val="Reference"/>
      </w:pPr>
      <w:r>
        <w:rPr/>
        <w:t xml:space="preserve">Still, S., Sivak, D. A., Bell, A. J., and Crooks, G. E. (2012). Thermodynamics of Prediction. </w:t>
      </w:r>
      <w:r>
        <w:rPr>
          <w:i/>
        </w:rPr>
        <w:t>Physical Review Letters</w:t>
      </w:r>
      <w:r>
        <w:rPr/>
        <w:t xml:space="preserve">, 109, 120604. </w:t>
      </w:r>
      <w:hyperlink r:id="rId23">
        <w:r>
          <w:rPr>
            <w:color w:val="000000"/>
            <w:u w:val="single"/>
          </w:rPr>
          <w:t xml:space="preserve">DOI</w:t>
        </w:r>
      </w:hyperlink>
      <w:r>
        <w:rPr/>
        <w:t xml:space="preserve">. </w:t>
      </w:r>
      <w:hyperlink r:id="rId24">
        <w:r>
          <w:rPr>
            <w:color w:val="000000"/>
            <w:u w:val="single"/>
          </w:rPr>
          <w:t xml:space="preserve">Author manuscript v3</w:t>
        </w:r>
      </w:hyperlink>
      <w:r>
        <w:rPr/>
        <w:t xml:space="preserve">. </w:t>
      </w:r>
      <w:hyperlink r:id="rId25">
        <w:r>
          <w:rPr>
            <w:color w:val="000000"/>
            <w:u w:val="single"/>
          </w:rPr>
          <w:t xml:space="preserve">Publisher accepted-manuscript record</w:t>
        </w:r>
      </w:hyperlink>
      <w:r>
        <w:rPr/>
        <w:t>.</w:t>
      </w:r>
    </w:p>
    <w:p>
      <w:pPr>
        <w:pStyle w:val="Reference"/>
      </w:pPr>
      <w:r>
        <w:rPr>
          <w:b/>
        </w:rPr>
        <w:t>Verified locations:</w:t>
      </w:r>
      <w:r>
        <w:rPr/>
        <w:t xml:space="preserve"> problem setup; equations (13)–(21), particularly driving-step equality (14), whole-protocol inequality (18), and erasure account (19). Original theory. Retain no-feedback, equilibrium preparation, bath, response, and relaxation assumptions. Does not supply a per-stage cognitive erasure cost or establish that a human relational processor is optimal. Chapters 1/2 cross-summary may cite it only as a conditional result.</w:t>
      </w:r>
    </w:p>
    <w:p>
      <w:pPr>
        <w:pStyle w:val="Heading2"/>
      </w:pPr>
      <w:bookmarkStart w:id="57" w:name="v3_l511"/>
      <w:r>
        <w:t>P07 Chvykov and colleagues 2021</w:t>
      </w:r>
      <w:bookmarkEnd w:id="57"/>
    </w:p>
    <w:p>
      <w:pPr>
        <w:pStyle w:val="Reference"/>
      </w:pPr>
      <w:r>
        <w:rPr/>
        <w:t xml:space="preserve">Chvykov, P., Berrueta, T. A., Vardhan, A., Savoie, W., Samland, A., Murphey, T. D., Wiesenfeld, K., Goldman, D. I., and England, J. L. (2021). Low rattling: A predictive principle for self-organization in active collectives. </w:t>
      </w:r>
      <w:r>
        <w:rPr>
          <w:i/>
        </w:rPr>
        <w:t>Science</w:t>
      </w:r>
      <w:r>
        <w:rPr/>
        <w:t xml:space="preserve">, 371(6524), 90–95. </w:t>
      </w:r>
      <w:hyperlink r:id="rId26">
        <w:r>
          <w:rPr>
            <w:color w:val="000000"/>
            <w:u w:val="single"/>
          </w:rPr>
          <w:t xml:space="preserve">DOI</w:t>
        </w:r>
      </w:hyperlink>
      <w:r>
        <w:rPr/>
        <w:t xml:space="preserve">. </w:t>
      </w:r>
      <w:hyperlink r:id="rId27">
        <w:r>
          <w:rPr>
            <w:color w:val="000000"/>
            <w:u w:val="single"/>
          </w:rPr>
          <w:t xml:space="preserve">Accepted manuscript and supplement</w:t>
        </w:r>
      </w:hyperlink>
      <w:r>
        <w:rPr/>
        <w:t xml:space="preserve">. </w:t>
      </w:r>
      <w:hyperlink r:id="rId28">
        <w:r>
          <w:rPr>
            <w:color w:val="000000"/>
            <w:u w:val="single"/>
          </w:rPr>
          <w:t xml:space="preserve">PDF</w:t>
        </w:r>
      </w:hyperlink>
      <w:r>
        <w:rPr/>
        <w:t>.</w:t>
      </w:r>
    </w:p>
    <w:p>
      <w:pPr>
        <w:pStyle w:val="Reference"/>
      </w:pPr>
      <w:r>
        <w:rPr>
          <w:b/>
        </w:rPr>
        <w:t>Verified locations:</w:t>
      </w:r>
      <w:r>
        <w:rPr/>
        <w:t xml:space="preserve"> main equations (1)–(3), assumptions preceding them, robot experiments, and supplementary counterexamples. Theory, simulations, and robotic active-matter experiments. Not an entropy-production-variance result or a universal stabilization law. Supports corrected Chapters 2/5 and the Chapter 6 summary.</w:t>
      </w:r>
    </w:p>
    <w:p>
      <w:pPr>
        <w:pStyle w:val="Heading2"/>
      </w:pPr>
      <w:bookmarkStart w:id="58" w:name="v3_l517"/>
      <w:r>
        <w:t>P08 Martyushev 2021</w:t>
      </w:r>
      <w:bookmarkEnd w:id="58"/>
    </w:p>
    <w:p>
      <w:pPr>
        <w:pStyle w:val="Reference"/>
      </w:pPr>
      <w:r>
        <w:rPr/>
        <w:t xml:space="preserve">Martyushev, L. M. (2021). Maximum entropy production principle: history and current status. </w:t>
      </w:r>
      <w:r>
        <w:rPr>
          <w:i/>
        </w:rPr>
        <w:t>Physics–Uspekhi</w:t>
      </w:r>
      <w:r>
        <w:rPr/>
        <w:t xml:space="preserve">, 64(6), 558–583. </w:t>
      </w:r>
      <w:hyperlink r:id="rId29">
        <w:r>
          <w:rPr>
            <w:color w:val="000000"/>
            <w:u w:val="single"/>
          </w:rPr>
          <w:t xml:space="preserve">DOI</w:t>
        </w:r>
      </w:hyperlink>
      <w:r>
        <w:rPr/>
        <w:t xml:space="preserve">. </w:t>
      </w:r>
      <w:hyperlink r:id="rId30">
        <w:r>
          <w:rPr>
            <w:color w:val="000000"/>
            <w:u w:val="single"/>
          </w:rPr>
          <w:t xml:space="preserve">Journal-hosted English PDF</w:t>
        </w:r>
      </w:hyperlink>
      <w:r>
        <w:rPr/>
        <w:t>.</w:t>
      </w:r>
    </w:p>
    <w:p>
      <w:pPr>
        <w:pStyle w:val="Reference"/>
      </w:pPr>
      <w:r>
        <w:rPr>
          <w:b/>
        </w:rPr>
        <w:t>Verified locations:</w:t>
      </w:r>
      <w:r>
        <w:rPr/>
        <w:t xml:space="preserve"> §3 formulation and justification; §3.1 locality; §3.2 complexity/nonadditivity. Review and advocacy, not a newly established empirical domain map. The author distinguishes local constitutive claims from integral behavior. Its proposed restrictions do not certify applicability to every biological or relational system. Cite in Chapters 2/3/6 as the review's position, not consensus.</w:t>
      </w:r>
    </w:p>
    <w:p>
      <w:pPr>
        <w:pStyle w:val="Heading2"/>
      </w:pPr>
      <w:bookmarkStart w:id="59" w:name="v3_l523"/>
      <w:r>
        <w:t>P09 Carroll 2014</w:t>
      </w:r>
      <w:bookmarkEnd w:id="59"/>
    </w:p>
    <w:p>
      <w:pPr>
        <w:pStyle w:val="Reference"/>
      </w:pPr>
      <w:r>
        <w:rPr/>
        <w:t xml:space="preserve">Carroll, S. (2014, February 3). Reality, Pushed From Behind. </w:t>
      </w:r>
      <w:hyperlink r:id="rId31">
        <w:r>
          <w:rPr>
            <w:color w:val="000000"/>
            <w:u w:val="single"/>
          </w:rPr>
          <w:t xml:space="preserve">Author's essay</w:t>
        </w:r>
      </w:hyperlink>
      <w:r>
        <w:rPr/>
        <w:t>.</w:t>
      </w:r>
    </w:p>
    <w:p>
      <w:pPr>
        <w:pStyle w:val="Reference"/>
      </w:pPr>
      <w:r>
        <w:rPr>
          <w:b/>
        </w:rPr>
        <w:t>Verified locations:</w:t>
      </w:r>
      <w:r>
        <w:rPr/>
        <w:t xml:space="preserve"> essay body before comments, especially the Past Hypothesis discussion and proposed term aphormeology. Primary author exposition of a causal/philosophical framing, not peer-reviewed empirical evidence of cosmic attractors. Use across the volume as framing. The Past Hypothesis is not attributed as Carroll's invention. The 2016 book was not used to supply an unverified page citation.</w:t>
      </w:r>
    </w:p>
    <w:p>
      <w:pPr>
        <w:pStyle w:val="Heading1"/>
        <w:pageBreakBefore/>
      </w:pPr>
      <w:bookmarkStart w:id="60" w:name="v3_l529"/>
      <w:r>
        <w:t>Progression references and evidence limits</w:t>
      </w:r>
      <w:bookmarkEnd w:id="60"/>
    </w:p>
    <w:p>
      <w:pPr/>
      <w:r>
        <w:rPr/>
        <w:t>Checked 28 October 2026. Q references support Chapters 3 and 4; P references appear in the preceding group. The original manuscript and the other volumes are not external scientific validation. No new experiments, clinical measurements, or deployment inspection were conducted.</w:t>
      </w:r>
    </w:p>
    <w:p>
      <w:pPr>
        <w:pStyle w:val="Heading2"/>
      </w:pPr>
      <w:bookmarkStart w:id="61" w:name="v3_l533"/>
      <w:r>
        <w:t>Q01 Low entropy cosmological background</w:t>
      </w:r>
      <w:bookmarkEnd w:id="61"/>
    </w:p>
    <w:p>
      <w:pPr/>
      <w:r>
        <w:rPr/>
        <w:t xml:space="preserve">Sean M. Carroll and Jennifer Chen. </w:t>
      </w:r>
      <w:r>
        <w:rPr>
          <w:b/>
        </w:rPr>
        <w:t>Spontaneous Inflation and the Origin of the Arrow of Time</w:t>
      </w:r>
      <w:r>
        <w:rPr/>
        <w:t xml:space="preserve"> (2004), arXiv:hep-th/0410270. </w:t>
      </w:r>
      <w:hyperlink r:id="rId32">
        <w:r>
          <w:rPr>
            <w:color w:val="000000"/>
            <w:u w:val="single"/>
          </w:rPr>
          <w:t xml:space="preserve">Author paper</w:t>
        </w:r>
      </w:hyperlink>
      <w:r>
        <w:rPr/>
        <w:t xml:space="preserve">; </w:t>
      </w:r>
      <w:hyperlink r:id="rId33">
        <w:r>
          <w:rPr>
            <w:color w:val="000000"/>
            <w:u w:val="single"/>
          </w:rPr>
          <w:t xml:space="preserve">full text</w:t>
        </w:r>
      </w:hyperlink>
      <w:r>
        <w:rPr/>
        <w:t>.</w:t>
      </w:r>
    </w:p>
    <w:p>
      <w:pPr/>
      <w:r>
        <w:rPr>
          <w:b/>
        </w:rPr>
        <w:t>Type and locator:</w:t>
      </w:r>
      <w:r>
        <w:rPr/>
        <w:t xml:space="preserve"> Original theoretical proposal, §1, printed pp. 3–4. Full text available; relevant introductory discussion inspected. It distinguishes ordinary matter/radiation entropy from entropy associated with gravitational collapse and emphasizes the low-entropy boundary-condition problem.</w:t>
      </w:r>
    </w:p>
    <w:p>
      <w:pPr/>
      <w:r>
        <w:rPr>
          <w:b/>
        </w:rPr>
        <w:t>Use and limit:</w:t>
      </w:r>
      <w:r>
        <w:rPr/>
        <w:t xml:space="preserve"> Supports the low-entropy-past/gravity distinction, not a finite universal token allowance. The paper's proposed spontaneous-inflation explanation is not imported or described as established. It supplies no empirical ladder from atoms to AI. The recombination description is standard cosmological background, not claimed as a new observation by these authors. The chapter makes no numerical primordial-entropy estimate and no settled gravitational entropy definition.</w:t>
      </w:r>
    </w:p>
    <w:p>
      <w:pPr>
        <w:pStyle w:val="Heading2"/>
      </w:pPr>
      <w:bookmarkStart w:id="62" w:name="v3_l541"/>
      <w:r>
        <w:t>Q02 Solar nuclear energy</w:t>
      </w:r>
      <w:bookmarkEnd w:id="62"/>
    </w:p>
    <w:p>
      <w:pPr/>
      <w:r>
        <w:rPr/>
        <w:t xml:space="preserve">Borexino Collaboration. </w:t>
      </w:r>
      <w:r>
        <w:rPr>
          <w:b/>
        </w:rPr>
        <w:t>Neutrinos from the primary proton–proton fusion process in the Sun.</w:t>
      </w:r>
      <w:r>
        <w:rPr/>
        <w:t xml:space="preserve"> </w:t>
      </w:r>
      <w:r>
        <w:rPr>
          <w:i/>
        </w:rPr>
        <w:t>Nature</w:t>
      </w:r>
      <w:r>
        <w:rPr/>
        <w:t xml:space="preserve"> 512, 383–386 (2014). DOI </w:t>
      </w:r>
      <w:hyperlink r:id="rId34">
        <w:r>
          <w:rPr>
            <w:color w:val="000000"/>
            <w:u w:val="single"/>
          </w:rPr>
          <w:t xml:space="preserve">10.1038/nature13702</w:t>
        </w:r>
      </w:hyperlink>
      <w:r>
        <w:rPr/>
        <w:t>.</w:t>
      </w:r>
    </w:p>
    <w:p>
      <w:pPr/>
      <w:r>
        <w:rPr>
          <w:b/>
        </w:rPr>
        <w:t>Type and locator:</w:t>
      </w:r>
      <w:r>
        <w:rPr/>
        <w:t xml:space="preserve"> Primary neutrino observation; publisher abstract and article metadata inspected. It reports spectral observations of solar pp neutrinos, supporting hydrogen-to-helium fusion as the Sun's principal energy source.</w:t>
      </w:r>
    </w:p>
    <w:p>
      <w:pPr/>
      <w:r>
        <w:rPr>
          <w:b/>
        </w:rPr>
        <w:t>Use and limit:</w:t>
      </w:r>
      <w:r>
        <w:rPr/>
        <w:t xml:space="preserve"> Establishes the nuclear-source distinction. The chapter does not reproduce the paper's percentage estimate as a current universal stellar value. It distinguishes gravitational contraction during formation from sustained main-sequence nuclear luminosity. The conclusion that ordinary terrestrial use of already-emitted sunlight does not increase core fuel use is a physical boundary/causality inference, not an experiment performed in the Borexino paper. No proposed stellar feedback mechanism is supplied by the manuscript.</w:t>
      </w:r>
    </w:p>
    <w:p>
      <w:pPr>
        <w:pStyle w:val="Heading2"/>
      </w:pPr>
      <w:bookmarkStart w:id="63" w:name="v3_l549"/>
      <w:r>
        <w:t>Q03 Carbon production</w:t>
      </w:r>
      <w:bookmarkEnd w:id="63"/>
    </w:p>
    <w:p>
      <w:pPr/>
      <w:r>
        <w:rPr/>
        <w:t xml:space="preserve">Hans O. U. Fynbo et al., ISOLDE Collaboration. </w:t>
      </w:r>
      <w:r>
        <w:rPr>
          <w:b/>
        </w:rPr>
        <w:t>Revised rates for the stellar triple-α process from measurement of 12C nuclear resonances.</w:t>
      </w:r>
      <w:r>
        <w:rPr/>
        <w:t xml:space="preserve"> </w:t>
      </w:r>
      <w:r>
        <w:rPr>
          <w:i/>
        </w:rPr>
        <w:t>Nature</w:t>
      </w:r>
      <w:r>
        <w:rPr/>
        <w:t xml:space="preserve"> 433, 136–139 (2005). DOI </w:t>
      </w:r>
      <w:hyperlink r:id="rId35">
        <w:r>
          <w:rPr>
            <w:color w:val="000000"/>
            <w:u w:val="single"/>
          </w:rPr>
          <w:t xml:space="preserve">10.1038/nature03219</w:t>
        </w:r>
      </w:hyperlink>
      <w:r>
        <w:rPr/>
        <w:t>.</w:t>
      </w:r>
    </w:p>
    <w:p>
      <w:pPr/>
      <w:r>
        <w:rPr>
          <w:b/>
        </w:rPr>
        <w:t>Type and locator:</w:t>
      </w:r>
      <w:r>
        <w:rPr/>
        <w:t xml:space="preserve"> Primary nuclear-resonance measurement and derived reaction-rate analysis; publisher-indexed abstract and metadata inspected. A subsequent direct publisher open encountered an inaccessible redirect.</w:t>
      </w:r>
    </w:p>
    <w:p>
      <w:pPr/>
      <w:r>
        <w:rPr>
          <w:b/>
        </w:rPr>
        <w:t>Use and limit:</w:t>
      </w:r>
      <w:r>
        <w:rPr/>
        <w:t xml:space="preserve"> Supports the identity of the triple-alpha helium-burning route to carbon-12. It is not used for a numerical present-day reaction rate, all stellar stages, or the complete origin of every element. The package's proton–proton-chain-to-carbon assertion is a factual error and is replaced, not qualified as speculative. Q15 supplies a separate reason not to collapse all origins above helium into ordinary stellar fusion waste.</w:t>
      </w:r>
    </w:p>
    <w:p>
      <w:pPr>
        <w:pStyle w:val="Heading2"/>
      </w:pPr>
      <w:bookmarkStart w:id="64" w:name="v3_l557"/>
      <w:r>
        <w:t>Q04 Meteoritic amino acids</w:t>
      </w:r>
      <w:bookmarkEnd w:id="64"/>
    </w:p>
    <w:p>
      <w:pPr/>
      <w:r>
        <w:rPr/>
        <w:t xml:space="preserve">Keith A. Kvenvolden, James G. Lawless, and Cyril Ponnamperuma. </w:t>
      </w:r>
      <w:r>
        <w:rPr>
          <w:b/>
        </w:rPr>
        <w:t>Nonprotein Amino Acids in the Murchison Meteorite.</w:t>
      </w:r>
      <w:r>
        <w:rPr/>
        <w:t xml:space="preserve"> </w:t>
      </w:r>
      <w:r>
        <w:rPr>
          <w:i/>
        </w:rPr>
        <w:t>PNAS</w:t>
      </w:r>
      <w:r>
        <w:rPr/>
        <w:t xml:space="preserve"> 68(2), 486–490 (1971). DOI </w:t>
      </w:r>
      <w:hyperlink r:id="rId36">
        <w:r>
          <w:rPr>
            <w:color w:val="000000"/>
            <w:u w:val="single"/>
          </w:rPr>
          <w:t xml:space="preserve">10.1073/pnas.68.2.486</w:t>
        </w:r>
      </w:hyperlink>
      <w:r>
        <w:rPr/>
        <w:t xml:space="preserve">; </w:t>
      </w:r>
      <w:hyperlink r:id="rId37">
        <w:r>
          <w:rPr>
            <w:color w:val="000000"/>
            <w:u w:val="single"/>
          </w:rPr>
          <w:t xml:space="preserve">primary article at PMC</w:t>
        </w:r>
      </w:hyperlink>
      <w:r>
        <w:rPr/>
        <w:t>.</w:t>
      </w:r>
    </w:p>
    <w:p>
      <w:pPr/>
      <w:r>
        <w:rPr>
          <w:b/>
        </w:rPr>
        <w:t>Type and locator:</w:t>
      </w:r>
      <w:r>
        <w:rPr/>
        <w:t xml:space="preserve"> Primary chemical analysis; abstract and article metadata inspected. Eight nonprotein amino acids were conclusively identified; four additional identifications were tentative.</w:t>
      </w:r>
    </w:p>
    <w:p>
      <w:pPr/>
      <w:r>
        <w:rPr>
          <w:b/>
        </w:rPr>
        <w:t>Use and limit:</w:t>
      </w:r>
      <w:r>
        <w:rPr/>
        <w:t xml:space="preserve"> The reader preserves this difference in confidence. Finding compounds in this meteorite is not direct observation of their formation on a meteorite, proof of their abundance everywhere, or a probability estimate for the origin of life. The full scanned methods/tables were not independently reanalyzed; no new abundance or contamination claim is made. The related 1970 Nature result was found but is not needed as a second evidentiary vote.</w:t>
      </w:r>
    </w:p>
    <w:p>
      <w:pPr>
        <w:pStyle w:val="Heading2"/>
      </w:pPr>
      <w:bookmarkStart w:id="65" w:name="v3_l565"/>
      <w:r>
        <w:t>Q05 Interstellar organic detection</w:t>
      </w:r>
      <w:bookmarkEnd w:id="65"/>
    </w:p>
    <w:p>
      <w:pPr/>
      <w:r>
        <w:rPr/>
        <w:t xml:space="preserve">J. M. Hollis, F. J. Lovas, and P. R. Jewell. </w:t>
      </w:r>
      <w:r>
        <w:rPr>
          <w:b/>
        </w:rPr>
        <w:t>Interstellar Glycolaldehyde: The First Sugar.</w:t>
      </w:r>
      <w:r>
        <w:rPr/>
        <w:t xml:space="preserve"> </w:t>
      </w:r>
      <w:r>
        <w:rPr>
          <w:i/>
        </w:rPr>
        <w:t>Astrophysical Journal Letters</w:t>
      </w:r>
      <w:r>
        <w:rPr/>
        <w:t xml:space="preserve"> 540, L107–L110 (2000). DOI </w:t>
      </w:r>
      <w:hyperlink r:id="rId38">
        <w:r>
          <w:rPr>
            <w:color w:val="000000"/>
            <w:u w:val="single"/>
          </w:rPr>
          <w:t xml:space="preserve">10.1086/312881</w:t>
        </w:r>
      </w:hyperlink>
      <w:r>
        <w:rPr/>
        <w:t xml:space="preserve">. </w:t>
      </w:r>
      <w:hyperlink r:id="rId39">
        <w:r>
          <w:rPr>
            <w:color w:val="000000"/>
            <w:u w:val="single"/>
          </w:rPr>
          <w:t xml:space="preserve">Primary-paper mirror</w:t>
        </w:r>
      </w:hyperlink>
      <w:r>
        <w:rPr/>
        <w:t>.</w:t>
      </w:r>
    </w:p>
    <w:p>
      <w:pPr/>
      <w:r>
        <w:rPr>
          <w:b/>
        </w:rPr>
        <w:t>Type and locator:</w:t>
      </w:r>
      <w:r>
        <w:rPr/>
        <w:t xml:space="preserve"> Primary radio-spectroscopic detection, abstract and §2 Observations and Results. Search-indexed paper text inspected; direct publisher access was robots-blocked and a direct mirror open failed. The available primary text identifies millimetre-wave rotational emission toward Sagittarius B2(N), with observations in May 2000.</w:t>
      </w:r>
    </w:p>
    <w:p>
      <w:pPr/>
      <w:r>
        <w:rPr>
          <w:b/>
        </w:rPr>
        <w:t>Use and limit:</w:t>
      </w:r>
      <w:r>
        <w:rPr/>
        <w:t xml:space="preserve"> The proposed wording is confined to the reported detection and target. It claims neither life nor a universal synthesis route, concentration, or environmental frequency. The paper's use of biomarker terminology is not imported as evidence of biology. No novel spectral reanalysis is claimed.</w:t>
      </w:r>
    </w:p>
    <w:p>
      <w:pPr>
        <w:pStyle w:val="Heading2"/>
      </w:pPr>
      <w:bookmarkStart w:id="66" w:name="v3_l573"/>
      <w:r>
        <w:t>Q06 Adult organ energetics</w:t>
      </w:r>
      <w:bookmarkEnd w:id="66"/>
    </w:p>
    <w:p>
      <w:pPr/>
      <w:r>
        <w:rPr/>
        <w:t xml:space="preserve">ZiMian Wang et al. </w:t>
      </w:r>
      <w:r>
        <w:rPr>
          <w:b/>
        </w:rPr>
        <w:t>Specific metabolic rates of major organs and tissues across adulthood: evaluation by mechanistic model of resting energy expenditure.</w:t>
      </w:r>
      <w:r>
        <w:rPr/>
        <w:t xml:space="preserve"> </w:t>
      </w:r>
      <w:r>
        <w:rPr>
          <w:i/>
        </w:rPr>
        <w:t>American Journal of Clinical Nutrition</w:t>
      </w:r>
      <w:r>
        <w:rPr/>
        <w:t xml:space="preserve"> 92(6), 1369–1377 (2010). DOI </w:t>
      </w:r>
      <w:hyperlink r:id="rId40">
        <w:r>
          <w:rPr>
            <w:color w:val="000000"/>
            <w:u w:val="single"/>
          </w:rPr>
          <w:t xml:space="preserve">10.3945/ajcn.2010.29885</w:t>
        </w:r>
      </w:hyperlink>
      <w:r>
        <w:rPr/>
        <w:t xml:space="preserve">; </w:t>
      </w:r>
      <w:hyperlink r:id="rId41">
        <w:r>
          <w:rPr>
            <w:color w:val="000000"/>
            <w:u w:val="single"/>
          </w:rPr>
          <w:t xml:space="preserve">full primary article</w:t>
        </w:r>
      </w:hyperlink>
      <w:r>
        <w:rPr/>
        <w:t>.</w:t>
      </w:r>
    </w:p>
    <w:p>
      <w:pPr/>
      <w:r>
        <w:rPr>
          <w:b/>
        </w:rPr>
        <w:t>Type and locator:</w:t>
      </w:r>
      <w:r>
        <w:rPr/>
        <w:t xml:space="preserve"> Original secondary analysis of a physiological dataset, </w:t>
      </w:r>
      <m:oMath>
        <m:r>
          <m:rPr>
            <m:sty m:val="i"/>
          </m:rPr>
          <w:rPr>
            <w:rFonts w:ascii="Latin Modern Math" w:hAnsi="Latin Modern Math"/>
          </w:rPr>
          <m:t xml:space="preserve">n</m:t>
        </m:r>
        <m:r>
          <m:rPr>
            <m:nor m:val="1"/>
            <m:sty m:val="p"/>
          </m:rPr>
          <w:rPr>
            <w:rFonts w:ascii="Latin Modern Math" w:hAnsi="Latin Modern Math"/>
          </w:rPr>
          <m:t xml:space="preserve">=131</m:t>
        </m:r>
      </m:oMath>
      <w:r>
        <w:rPr/>
        <w:t xml:space="preserve"> healthy nonobese adults, ages 21–73. Abstract, measurement methods, Tables 2–3, and model description inspected. MRI organ masses and whole-body indirect calorimetry evaluate proposed organ-specific coefficients; these are not direct independent calorimetry measurements of each organ.</w:t>
      </w:r>
    </w:p>
    <w:p>
      <w:pPr/>
      <w:r>
        <w:rPr>
          <w:b/>
        </w:rPr>
        <w:t>Use and limit:</w:t>
      </w:r>
      <w:r>
        <w:rPr/>
        <w:t xml:space="preserve"> Elia's evaluated coefficients include brain 240 and heart/kidneys 440 kcal/(kg·day). Thus the brain is not the highest rate per organ mass in this model. Adult resting conditions matter. The approximate 2%/20% language is consistent with the cohort calculation below, not a universal fraction for children, exercise, every person, or entropy production.</w:t>
      </w:r>
    </w:p>
    <w:p>
      <w:pPr>
        <w:pStyle w:val="Heading2"/>
      </w:pPr>
      <w:bookmarkStart w:id="67" w:name="v3_l581"/>
      <w:r>
        <w:t>Q07 Dated global data centre estimate</w:t>
      </w:r>
      <w:bookmarkEnd w:id="67"/>
    </w:p>
    <w:p>
      <w:pPr/>
      <w:r>
        <w:rPr/>
        <w:t xml:space="preserve">International Energy Agency. </w:t>
      </w:r>
      <w:r>
        <w:rPr>
          <w:b/>
        </w:rPr>
        <w:t>Energy and AI</w:t>
      </w:r>
      <w:r>
        <w:rPr/>
        <w:t xml:space="preserve"> (2025), chapter </w:t>
      </w:r>
      <w:r>
        <w:rPr>
          <w:b/>
        </w:rPr>
        <w:t>Energy demand from AI</w:t>
      </w:r>
      <w:r>
        <w:rPr/>
        <w:t xml:space="preserve">, section </w:t>
      </w:r>
      <w:r>
        <w:rPr>
          <w:b/>
        </w:rPr>
        <w:t>The outlook for energy demand from data centres</w:t>
      </w:r>
      <w:r>
        <w:rPr/>
        <w:t xml:space="preserve">. </w:t>
      </w:r>
      <w:hyperlink r:id="rId42">
        <w:r>
          <w:rPr>
            <w:color w:val="000000"/>
            <w:u w:val="single"/>
          </w:rPr>
          <w:t xml:space="preserve">Primary report chapter</w:t>
        </w:r>
      </w:hyperlink>
      <w:r>
        <w:rPr/>
        <w:t>.</w:t>
      </w:r>
    </w:p>
    <w:p>
      <w:pPr/>
      <w:r>
        <w:rPr>
          <w:b/>
        </w:rPr>
        <w:t>Type and locator:</w:t>
      </w:r>
      <w:r>
        <w:rPr/>
        <w:t xml:space="preserve"> Primary institutional model-based estimate, not a census of individually metered AI workloads. Relevant online section and component definitions inspected. It estimates approximately 415 TWh of worldwide data-centre electricity consumption in calendar 2024; site infrastructure is part of the scope.</w:t>
      </w:r>
    </w:p>
    <w:p>
      <w:pPr/>
      <w:r>
        <w:rPr>
          <w:b/>
        </w:rPr>
        <w:t>Use and limit:</w:t>
      </w:r>
      <w:r>
        <w:rPr/>
        <w:t xml:space="preserve"> The chapter dates the report and estimate explicitly. It does not label 415 TWh as all AI, primary energy, entropy, or W/kg. Future scenarios and uncited current growth claims are omitted. The physical inference that annual energy cannot establish mass-normalized power or entropy production is dimensional, not another conclusion attributed to the IEA.</w:t>
      </w:r>
    </w:p>
    <w:p>
      <w:pPr>
        <w:pStyle w:val="Heading2"/>
      </w:pPr>
      <w:bookmarkStart w:id="68" w:name="v3_l589"/>
      <w:r>
        <w:t>Q08 Task specific neural rhythms</w:t>
      </w:r>
      <w:bookmarkEnd w:id="68"/>
    </w:p>
    <w:p>
      <w:pPr/>
      <w:r>
        <w:rPr/>
        <w:t xml:space="preserve">Niko A. Busch, Julien Dubois, and Rufin VanRullen. </w:t>
      </w:r>
      <w:r>
        <w:rPr>
          <w:b/>
        </w:rPr>
        <w:t>The Phase of Ongoing EEG Oscillations Predicts Visual Perception.</w:t>
      </w:r>
      <w:r>
        <w:rPr/>
        <w:t xml:space="preserve"> </w:t>
      </w:r>
      <w:r>
        <w:rPr>
          <w:i/>
        </w:rPr>
        <w:t>Journal of Neuroscience</w:t>
      </w:r>
      <w:r>
        <w:rPr/>
        <w:t xml:space="preserve"> 29(24), 7869–7876 (2009). DOI </w:t>
      </w:r>
      <w:hyperlink r:id="rId43">
        <w:r>
          <w:rPr>
            <w:color w:val="000000"/>
            <w:u w:val="single"/>
          </w:rPr>
          <w:t xml:space="preserve">10.1523/JNEUROSCI.0113-09.2009</w:t>
        </w:r>
      </w:hyperlink>
      <w:r>
        <w:rPr/>
        <w:t xml:space="preserve">; </w:t>
      </w:r>
      <w:hyperlink r:id="rId44">
        <w:r>
          <w:rPr>
            <w:color w:val="000000"/>
            <w:u w:val="single"/>
          </w:rPr>
          <w:t xml:space="preserve">primary article at PMC</w:t>
        </w:r>
      </w:hyperlink>
      <w:r>
        <w:rPr/>
        <w:t>.</w:t>
      </w:r>
    </w:p>
    <w:p>
      <w:pPr/>
      <w:r>
        <w:rPr>
          <w:b/>
        </w:rPr>
        <w:t>Type and locator:</w:t>
      </w:r>
      <w:r>
        <w:rPr/>
        <w:t xml:space="preserve"> Primary EEG/perceptual experiment; publisher/PMC-indexed abstract, introduction, and discussion inspected. Direct opens intermittently returned 403 or a browser-verification page. Near-threshold flash detection varied with prestimulus oscillatory phase, with strongest effects in theta/alpha bands.</w:t>
      </w:r>
    </w:p>
    <w:p>
      <w:pPr/>
      <w:r>
        <w:rPr>
          <w:b/>
        </w:rPr>
        <w:t>Use and limit:</w:t>
      </w:r>
      <w:r>
        <w:rPr/>
        <w:t xml:space="preserve"> The reader states task-specific association, not a frame-by-frame theory of all consciousness, causal proof from this experiment, or evidence of empty experiential intervals. The original 10–40 Hz universal frame-rate claim is withdrawn. No inference about AI phenomenology follows. The study's numerical performance-effect estimate is not imported.</w:t>
      </w:r>
    </w:p>
    <w:p>
      <w:pPr>
        <w:pStyle w:val="Heading2"/>
      </w:pPr>
      <w:bookmarkStart w:id="69" w:name="v3_l597"/>
      <w:r>
        <w:t>Q09 Evolutionary contingency</w:t>
      </w:r>
      <w:bookmarkEnd w:id="69"/>
    </w:p>
    <w:p>
      <w:pPr/>
      <w:r>
        <w:rPr/>
        <w:t xml:space="preserve">Zachary D. Blount, Christina Z. Borland, and Richard E. Lenski. </w:t>
      </w:r>
      <w:r>
        <w:rPr>
          <w:b/>
        </w:rPr>
        <w:t>Historical contingency and the evolution of a key innovation in an experimental population of Escherichia coli.</w:t>
      </w:r>
      <w:r>
        <w:rPr/>
        <w:t xml:space="preserve"> </w:t>
      </w:r>
      <w:r>
        <w:rPr>
          <w:i/>
        </w:rPr>
        <w:t>PNAS</w:t>
      </w:r>
      <w:r>
        <w:rPr/>
        <w:t xml:space="preserve"> 105(23), 7899–7906 (2008). DOI </w:t>
      </w:r>
      <w:hyperlink r:id="rId45">
        <w:r>
          <w:rPr>
            <w:color w:val="000000"/>
            <w:u w:val="single"/>
          </w:rPr>
          <w:t xml:space="preserve">10.1073/pnas.0803151105</w:t>
        </w:r>
      </w:hyperlink>
      <w:r>
        <w:rPr/>
        <w:t xml:space="preserve">. </w:t>
      </w:r>
      <w:hyperlink r:id="rId46">
        <w:r>
          <w:rPr>
            <w:color w:val="000000"/>
            <w:u w:val="single"/>
          </w:rPr>
          <w:t xml:space="preserve">Author-hosted paper</w:t>
        </w:r>
      </w:hyperlink>
      <w:r>
        <w:rPr/>
        <w:t>.</w:t>
      </w:r>
    </w:p>
    <w:p>
      <w:pPr/>
      <w:r>
        <w:rPr>
          <w:b/>
        </w:rPr>
        <w:t>Type and locator:</w:t>
      </w:r>
      <w:r>
        <w:rPr/>
        <w:t xml:space="preserve"> Primary evolution/replay experiment; publisher-indexed abstract and paper excerpt inspected; direct author-PDF fetch returned 403.</w:t>
      </w:r>
    </w:p>
    <w:p>
      <w:pPr/>
      <w:r>
        <w:rPr>
          <w:b/>
        </w:rPr>
        <w:t>Use and limit:</w:t>
      </w:r>
      <w:r>
        <w:rPr/>
        <w:t xml:space="preserve"> One of twelve initially identical populations evolved aerobic citrate use </w:t>
      </w:r>
      <w:r>
        <w:rPr>
          <w:b/>
        </w:rPr>
        <w:t>by</w:t>
      </w:r>
      <w:r>
        <w:rPr/>
        <w:t>, not after, 31,500 generations in the report. Replay experiments support historical contingency. This is a report-specific result, not a claim about all populations for all subsequent time. Divergent outcomes in a finite experiment do not establish universal nonergodicity; that term requires a specified dynamical model and measure.</w:t>
      </w:r>
    </w:p>
    <w:p>
      <w:pPr>
        <w:pStyle w:val="Heading2"/>
      </w:pPr>
      <w:bookmarkStart w:id="70" w:name="v3_l605"/>
      <w:r>
        <w:t>Q10 Emergence</w:t>
      </w:r>
      <w:bookmarkEnd w:id="70"/>
    </w:p>
    <w:p>
      <w:pPr/>
      <w:r>
        <w:rPr/>
        <w:t xml:space="preserve">P. W. Anderson. </w:t>
      </w:r>
      <w:r>
        <w:rPr>
          <w:b/>
        </w:rPr>
        <w:t>More Is Different.</w:t>
      </w:r>
      <w:r>
        <w:rPr/>
        <w:t xml:space="preserve"> </w:t>
      </w:r>
      <w:r>
        <w:rPr>
          <w:i/>
        </w:rPr>
        <w:t>Science</w:t>
      </w:r>
      <w:r>
        <w:rPr/>
        <w:t xml:space="preserve"> 177(4047), 393–396 (1972). DOI </w:t>
      </w:r>
      <w:hyperlink r:id="rId47">
        <w:r>
          <w:rPr>
            <w:color w:val="000000"/>
            <w:u w:val="single"/>
          </w:rPr>
          <w:t xml:space="preserve">10.1126/science.177.4047.393</w:t>
        </w:r>
      </w:hyperlink>
      <w:r>
        <w:rPr/>
        <w:t xml:space="preserve">. </w:t>
      </w:r>
      <w:hyperlink r:id="rId48">
        <w:r>
          <w:rPr>
            <w:color w:val="000000"/>
            <w:u w:val="single"/>
          </w:rPr>
          <w:t xml:space="preserve">Primary essay scan</w:t>
        </w:r>
      </w:hyperlink>
      <w:r>
        <w:rPr/>
        <w:t>.</w:t>
      </w:r>
    </w:p>
    <w:p>
      <w:pPr/>
      <w:r>
        <w:rPr>
          <w:b/>
        </w:rPr>
        <w:t>Type and locator:</w:t>
      </w:r>
      <w:r>
        <w:rPr/>
        <w:t xml:space="preserve"> Author's theoretical/conceptual essay. Relevant pp. 393–394 inspected in the complete scan. Anderson distinguishes reductionism from the claim that knowledge of fundamental laws automatically reconstructs higher-scale explanations and discusses broken symmetry.</w:t>
      </w:r>
    </w:p>
    <w:p>
      <w:pPr/>
      <w:r>
        <w:rPr>
          <w:b/>
        </w:rPr>
        <w:t>Use and limit:</w:t>
      </w:r>
      <w:r>
        <w:rPr/>
        <w:t xml:space="preserve"> Supports the need for level-specific concepts and collective description. The reader does not turn the essay into a mathematical proof that every possible higher-level property is underivable, or suggest higher-scale behavior violates fundamental laws.</w:t>
      </w:r>
    </w:p>
    <w:p>
      <w:pPr>
        <w:pStyle w:val="Heading2"/>
      </w:pPr>
      <w:bookmarkStart w:id="71" w:name="v3_l613"/>
      <w:r>
        <w:t>Q11 Terrestrial entropy accounting</w:t>
      </w:r>
      <w:bookmarkEnd w:id="71"/>
    </w:p>
    <w:p>
      <w:pPr/>
      <w:r>
        <w:rPr/>
        <w:t xml:space="preserve">Emory F. Bunn. </w:t>
      </w:r>
      <w:r>
        <w:rPr>
          <w:b/>
        </w:rPr>
        <w:t>Evolution and the second law of thermodynamics.</w:t>
      </w:r>
      <w:r>
        <w:rPr/>
        <w:t xml:space="preserve"> </w:t>
      </w:r>
      <w:r>
        <w:rPr>
          <w:i/>
        </w:rPr>
        <w:t>American Journal of Physics</w:t>
      </w:r>
      <w:r>
        <w:rPr/>
        <w:t xml:space="preserve"> 77, 922–925 (2009). DOI </w:t>
      </w:r>
      <w:hyperlink r:id="rId49">
        <w:r>
          <w:rPr>
            <w:color w:val="000000"/>
            <w:u w:val="single"/>
          </w:rPr>
          <w:t xml:space="preserve">10.1119/1.3119513</w:t>
        </w:r>
      </w:hyperlink>
      <w:r>
        <w:rPr/>
        <w:t xml:space="preserve">; </w:t>
      </w:r>
      <w:hyperlink r:id="rId50">
        <w:r>
          <w:rPr>
            <w:color w:val="000000"/>
            <w:u w:val="single"/>
          </w:rPr>
          <w:t xml:space="preserve">author preprint</w:t>
        </w:r>
      </w:hyperlink>
      <w:r>
        <w:rPr/>
        <w:t xml:space="preserve">; </w:t>
      </w:r>
      <w:hyperlink r:id="rId51">
        <w:r>
          <w:rPr>
            <w:color w:val="000000"/>
            <w:u w:val="single"/>
          </w:rPr>
          <w:t xml:space="preserve">full text</w:t>
        </w:r>
      </w:hyperlink>
      <w:r>
        <w:rPr/>
        <w:t>.</w:t>
      </w:r>
    </w:p>
    <w:p>
      <w:pPr/>
      <w:r>
        <w:rPr>
          <w:b/>
        </w:rPr>
        <w:t>Type and locator:</w:t>
      </w:r>
      <w:r>
        <w:rPr/>
        <w:t xml:space="preserve"> Original quantitative pedagogical analysis. Abstract and relevant solar/terrestrial energy-accounting text inspected; arXiv full text accessible, institutional mirror returned 502.</w:t>
      </w:r>
    </w:p>
    <w:p>
      <w:pPr/>
      <w:r>
        <w:rPr>
          <w:b/>
        </w:rPr>
        <w:t>Use and limit:</w:t>
      </w:r>
      <w:r>
        <w:rPr/>
        <w:t xml:space="preserve"> Supports the compatibility of local biological ordering with entropy increase in a larger accounting. The claim that ordinary downstream use of emitted light does not accelerate solar core fuel consumption is our boundary/causality inference, together with Q02. It is not a numerical result of this paper or a claim that the Sun and Earth have no gravitational or electromagnetic interaction at all. No cosmic lifetime calculation is offered.</w:t>
      </w:r>
    </w:p>
    <w:p>
      <w:pPr>
        <w:pStyle w:val="Heading2"/>
      </w:pPr>
      <w:bookmarkStart w:id="72" w:name="v3_l621"/>
      <w:r>
        <w:t>Q12 US server scope audit only</w:t>
      </w:r>
      <w:bookmarkEnd w:id="72"/>
    </w:p>
    <w:p>
      <w:pPr/>
      <w:r>
        <w:rPr/>
        <w:t xml:space="preserve">Arman Shehabi et al. </w:t>
      </w:r>
      <w:r>
        <w:rPr>
          <w:b/>
        </w:rPr>
        <w:t>2024 United States Data Center Energy Usage Report.</w:t>
      </w:r>
      <w:r>
        <w:rPr/>
        <w:t xml:space="preserve"> Lawrence Berkeley National Laboratory, LBNL-2001637 (December 2024). DOI </w:t>
      </w:r>
      <w:hyperlink r:id="rId52">
        <w:r>
          <w:rPr>
            <w:color w:val="000000"/>
            <w:u w:val="single"/>
          </w:rPr>
          <w:t xml:space="preserve">10.71468/P1WC7Q</w:t>
        </w:r>
      </w:hyperlink>
      <w:r>
        <w:rPr/>
        <w:t xml:space="preserve">. </w:t>
      </w:r>
      <w:hyperlink r:id="rId53">
        <w:r>
          <w:rPr>
            <w:color w:val="000000"/>
            <w:u w:val="single"/>
          </w:rPr>
          <w:t xml:space="preserve">Institutional record</w:t>
        </w:r>
      </w:hyperlink>
      <w:r>
        <w:rPr/>
        <w:t xml:space="preserve">; </w:t>
      </w:r>
      <w:hyperlink r:id="rId54">
        <w:r>
          <w:rPr>
            <w:color w:val="000000"/>
            <w:u w:val="single"/>
          </w:rPr>
          <w:t xml:space="preserve">accessible report PDF</w:t>
        </w:r>
      </w:hyperlink>
      <w:r>
        <w:rPr/>
        <w:t>.</w:t>
      </w:r>
    </w:p>
    <w:p>
      <w:pPr/>
      <w:r>
        <w:rPr>
          <w:b/>
        </w:rPr>
        <w:t>Type and locator:</w:t>
      </w:r>
      <w:r>
        <w:rPr/>
        <w:t xml:space="preserve"> Primary institutional bottom-up analysis. Relevant text in §§2–5 inspected, especially printed pp. 49–53, Figures 5.1 and 5.6 descriptions. Historical estimates end in 2023; subsequent years through 2028 are scenario ranges. Direct server electricity is distinguished from storage, networks, and facility infrastructure.</w:t>
      </w:r>
    </w:p>
    <w:p>
      <w:pPr/>
      <w:r>
        <w:rPr>
          <w:b/>
        </w:rPr>
        <w:t>Decision and unresolved detail:</w:t>
      </w:r>
      <w:r>
        <w:rPr/>
        <w:t xml:space="preserve"> The exact 53–76 TWh endpoints in the original were located in secondary accounts describing US AI servers, not a global AI total. They were not independently recovered as a numerical primary table or underlying series in this pass. Therefore the range is removed, not relabeled as a verified global observation. The original PDF URL without </w:t>
      </w:r>
      <w:r>
        <w:rPr>
          <w:rStyle w:val="SourceLiteral"/>
        </w:rPr>
        <w:t>_1</w:t>
      </w:r>
      <w:r>
        <w:rPr/>
        <w:t xml:space="preserve"> returned 429; the alternative file linked by the institutional record was readable. No precise chart values are inferred from unreadable screenshot output.</w:t>
      </w:r>
    </w:p>
    <w:p>
      <w:pPr>
        <w:pStyle w:val="Heading2"/>
      </w:pPr>
      <w:bookmarkStart w:id="73" w:name="v3_l629"/>
      <w:r>
        <w:t>Q13 Historical perceptual citation audit only</w:t>
      </w:r>
      <w:bookmarkEnd w:id="73"/>
    </w:p>
    <w:p>
      <w:pPr/>
      <w:r>
        <w:rPr/>
        <w:t xml:space="preserve">Francisco J. Varela, Alfredo Toro, E. Roy John, and Eric L. Schwartz. </w:t>
      </w:r>
      <w:r>
        <w:rPr>
          <w:b/>
        </w:rPr>
        <w:t>Perceptual framing and cortical alpha rhythm.</w:t>
      </w:r>
      <w:r>
        <w:rPr/>
        <w:t xml:space="preserve"> </w:t>
      </w:r>
      <w:r>
        <w:rPr>
          <w:i/>
        </w:rPr>
        <w:t>Neuropsychologia</w:t>
      </w:r>
      <w:r>
        <w:rPr/>
        <w:t xml:space="preserve"> 19(5), 675–686 (1981). DOI </w:t>
      </w:r>
      <w:hyperlink r:id="rId55">
        <w:r>
          <w:rPr>
            <w:color w:val="000000"/>
            <w:u w:val="single"/>
          </w:rPr>
          <w:t xml:space="preserve">10.1016/0028-3932(81)90005-1</w:t>
        </w:r>
      </w:hyperlink>
      <w:r>
        <w:rPr/>
        <w:t xml:space="preserve">; </w:t>
      </w:r>
      <w:hyperlink r:id="rId56">
        <w:r>
          <w:rPr>
            <w:color w:val="000000"/>
            <w:u w:val="single"/>
          </w:rPr>
          <w:t xml:space="preserve">PubMed record</w:t>
        </w:r>
      </w:hyperlink>
      <w:r>
        <w:rPr/>
        <w:t>.</w:t>
      </w:r>
    </w:p>
    <w:p>
      <w:pPr/>
      <w:r>
        <w:rPr>
          <w:b/>
        </w:rPr>
        <w:t>Access and decision:</w:t>
      </w:r>
      <w:r>
        <w:rPr/>
        <w:t xml:space="preserve"> Bibliographic record verified; PubMed has no abstract and full experimental text was not acquired in this pass. This paper is not used as proof of a 10–40 Hz universal consciousness rate. VanRullen and Koch (2003) is a review, not the primary experimental replacement. Q08 provides a directly scoped primary finding without claiming discrete phenomenal frames.</w:t>
      </w:r>
    </w:p>
    <w:p>
      <w:pPr>
        <w:pStyle w:val="Heading2"/>
      </w:pPr>
      <w:bookmarkStart w:id="74" w:name="v3_l635"/>
      <w:r>
        <w:t>Q14 Entropy balance and conditional instabilities</w:t>
      </w:r>
      <w:bookmarkEnd w:id="74"/>
    </w:p>
    <w:p>
      <w:pPr/>
      <w:r>
        <w:rPr/>
        <w:t xml:space="preserve">Ilya Prigogine. </w:t>
      </w:r>
      <w:r>
        <w:rPr>
          <w:b/>
        </w:rPr>
        <w:t>Time, Structure and Fluctuations.</w:t>
      </w:r>
      <w:r>
        <w:rPr/>
        <w:t xml:space="preserve"> Nobel Lecture, 8 December 1977, pp. 263–285. </w:t>
      </w:r>
      <w:hyperlink r:id="rId57">
        <w:r>
          <w:rPr>
            <w:color w:val="000000"/>
            <w:u w:val="single"/>
          </w:rPr>
          <w:t xml:space="preserve">Official lecture</w:t>
        </w:r>
      </w:hyperlink>
      <w:r>
        <w:rPr/>
        <w:t xml:space="preserve">. Revised publication: </w:t>
      </w:r>
      <w:r>
        <w:rPr>
          <w:i/>
        </w:rPr>
        <w:t>Science</w:t>
      </w:r>
      <w:r>
        <w:rPr/>
        <w:t xml:space="preserve"> 201(4358), 777–785 (1978), DOI </w:t>
      </w:r>
      <w:hyperlink r:id="rId58">
        <w:r>
          <w:rPr>
            <w:color w:val="000000"/>
            <w:u w:val="single"/>
          </w:rPr>
          <w:t xml:space="preserve">10.1126/science.201.4358.777</w:t>
        </w:r>
      </w:hyperlink>
      <w:r>
        <w:rPr/>
        <w:t xml:space="preserve">; </w:t>
      </w:r>
      <w:hyperlink r:id="rId59">
        <w:r>
          <w:rPr>
            <w:color w:val="000000"/>
            <w:u w:val="single"/>
          </w:rPr>
          <w:t xml:space="preserve">publication abstract</w:t>
        </w:r>
      </w:hyperlink>
      <w:r>
        <w:rPr/>
        <w:t>.</w:t>
      </w:r>
    </w:p>
    <w:p>
      <w:pPr/>
      <w:r>
        <w:rPr>
          <w:b/>
        </w:rPr>
        <w:t>Type and locator:</w:t>
      </w:r>
      <w:r>
        <w:rPr/>
        <w:t xml:space="preserve"> Primary author exposition of the theoretical program, not independent validation. Relevant text from §§2–4 inspected in indexed copies: entropy exchange versus internal production; stability dependence on kinetic form; chemical oscillations and bifurcations. Official indexed §4 text includes the successive-bifurcation example on p. 273. Direct official PDF fetch returned 403; university reprint timed out. Access copies: </w:t>
      </w:r>
      <w:hyperlink r:id="rId60">
        <w:r>
          <w:rPr>
            <w:color w:val="000000"/>
            <w:u w:val="single"/>
          </w:rPr>
          <w:t xml:space="preserve">primary-lecture transcription</w:t>
        </w:r>
      </w:hyperlink>
      <w:r>
        <w:rPr/>
        <w:t xml:space="preserve">, especially §3 pp. 268–270 and §4; </w:t>
      </w:r>
      <w:hyperlink r:id="rId61">
        <w:r>
          <w:rPr>
            <w:color w:val="000000"/>
            <w:u w:val="single"/>
          </w:rPr>
          <w:t xml:space="preserve">primary-PDF mirror</w:t>
        </w:r>
      </w:hyperlink>
      <w:r>
        <w:rPr/>
        <w:t>, indexed p. 265 for entropy balance. These reproduce the primary author's text and are not independent evidentiary sources.</w:t>
      </w:r>
    </w:p>
    <w:p>
      <w:pPr/>
      <w:r>
        <w:rPr>
          <w:b/>
        </w:rPr>
        <w:t>Use and limit:</w:t>
      </w:r>
      <w:r>
        <w:rPr/>
        <w:t xml:space="preserve"> Supports a bounded physical account, never a measured law of arguments, divorce, war, or civilizations. Distinguishing entropy change from production and exchange is essential. Dimensional consequences below are calculations from definitions; no universal power-to-entropy conversion is claimed. No general catastrophic-release theorem is attributed to Prigogine.</w:t>
      </w:r>
    </w:p>
    <w:p>
      <w:pPr>
        <w:pStyle w:val="Heading2"/>
      </w:pPr>
      <w:bookmarkStart w:id="75" w:name="v3_l643"/>
      <w:r>
        <w:t>Q15 Multiple nucleosynthetic routes</w:t>
      </w:r>
      <w:bookmarkEnd w:id="75"/>
    </w:p>
    <w:p>
      <w:pPr/>
      <w:r>
        <w:rPr/>
        <w:t xml:space="preserve">H. Reeves, W. A. Fowler, and F. Hoyle. </w:t>
      </w:r>
      <w:r>
        <w:rPr>
          <w:b/>
        </w:rPr>
        <w:t>Galactic Cosmic Ray Origin of Li, Be and B in Stars.</w:t>
      </w:r>
      <w:r>
        <w:rPr/>
        <w:t xml:space="preserve"> </w:t>
      </w:r>
      <w:r>
        <w:rPr>
          <w:i/>
        </w:rPr>
        <w:t>Nature</w:t>
      </w:r>
      <w:r>
        <w:rPr/>
        <w:t xml:space="preserve"> 226, 727–729 (1970). DOI </w:t>
      </w:r>
      <w:hyperlink r:id="rId62">
        <w:r>
          <w:rPr>
            <w:color w:val="000000"/>
            <w:u w:val="single"/>
          </w:rPr>
          <w:t xml:space="preserve">10.1038/226727a0</w:t>
        </w:r>
      </w:hyperlink>
      <w:r>
        <w:rPr/>
        <w:t>.</w:t>
      </w:r>
    </w:p>
    <w:p>
      <w:pPr/>
      <w:r>
        <w:rPr>
          <w:b/>
        </w:rPr>
        <w:t>Type and locator:</w:t>
      </w:r>
      <w:r>
        <w:rPr/>
        <w:t xml:space="preserve"> Original theoretical study, publisher abstract and metadata inspected. It examines production of these light elements through cosmic-ray interactions with interstellar material.</w:t>
      </w:r>
    </w:p>
    <w:p>
      <w:pPr/>
      <w:r>
        <w:rPr>
          <w:b/>
        </w:rPr>
        <w:t>Use and limit:</w:t>
      </w:r>
      <w:r>
        <w:rPr/>
        <w:t xml:space="preserve"> Establishes that the origin problem includes processes other than ordinary stellar fusion. The reader does not claim that all lithium, beryllium, or boron has a single cosmic-ray origin, or use this historical analysis as a current quantitative inventory. Its narrow role is to prevent “all above helium is stellar waste” from passing as a complete account.</w:t>
      </w:r>
    </w:p>
    <w:p>
      <w:pPr>
        <w:pStyle w:val="Heading2"/>
      </w:pPr>
      <w:bookmarkStart w:id="76" w:name="v3_l651"/>
      <w:r>
        <w:t>Calculations and dimensional checks</w:t>
      </w:r>
      <w:bookmarkEnd w:id="76"/>
    </w:p>
    <w:p>
      <w:pPr/>
      <w:r>
        <w:rPr>
          <w:b/>
        </w:rPr>
        <w:t>Energy versus entropy:</w:t>
      </w:r>
      <w:r>
        <w:rPr/>
        <w:t xml:space="preserve"> </w:t>
      </w:r>
      <m:oMath>
        <m:r>
          <m:rPr>
            <m:nor m:val="1"/>
            <m:sty m:val="p"/>
          </m:rPr>
          <w:rPr>
            <w:rFonts w:ascii="Latin Modern Math" w:hAnsi="Latin Modern Math"/>
          </w:rPr>
          <m:t xml:space="preserve">W = </m:t>
        </m:r>
        <m:f>
          <m:num>
            <m:r>
              <m:rPr>
                <m:nor m:val="1"/>
                <m:sty m:val="p"/>
              </m:rPr>
              <w:rPr>
                <w:rFonts w:ascii="Latin Modern Math" w:hAnsi="Latin Modern Math"/>
              </w:rPr>
              <m:t xml:space="preserve">J</m:t>
            </m:r>
          </m:num>
          <m:den>
            <m:r>
              <m:rPr>
                <m:nor m:val="1"/>
                <m:sty m:val="p"/>
              </m:rPr>
              <w:rPr>
                <w:rFonts w:ascii="Latin Modern Math" w:hAnsi="Latin Modern Math"/>
              </w:rPr>
              <m:t xml:space="preserve">s</m:t>
            </m:r>
          </m:den>
        </m:f>
      </m:oMath>
      <w:r>
        <w:rPr/>
        <w:t xml:space="preserve">. Thus </w:t>
      </w:r>
      <m:oMath>
        <m:f>
          <m:num>
            <m:r>
              <m:rPr>
                <m:sty m:val="i"/>
              </m:rPr>
              <w:rPr>
                <w:rFonts w:ascii="Latin Modern Math" w:hAnsi="Latin Modern Math"/>
              </w:rPr>
              <m:t xml:space="preserve">P</m:t>
            </m:r>
          </m:num>
          <m:den>
            <m:r>
              <m:rPr>
                <m:sty m:val="i"/>
              </m:rPr>
              <w:rPr>
                <w:rFonts w:ascii="Latin Modern Math" w:hAnsi="Latin Modern Math"/>
              </w:rPr>
              <m:t xml:space="preserve">m</m:t>
            </m:r>
          </m:den>
        </m:f>
      </m:oMath>
      <w:r>
        <w:rPr/>
        <w:t xml:space="preserve"> has units </w:t>
      </w:r>
      <m:oMath>
        <m:f>
          <m:num>
            <m:r>
              <m:rPr>
                <m:nor m:val="1"/>
                <m:sty m:val="p"/>
              </m:rPr>
              <w:rPr>
                <w:rFonts w:ascii="Latin Modern Math" w:hAnsi="Latin Modern Math"/>
              </w:rPr>
              <m:t xml:space="preserve">J</m:t>
            </m:r>
          </m:num>
          <m:den>
            <m:r>
              <m:rPr>
                <m:nor m:val="1"/>
                <m:sty m:val="p"/>
              </m:rPr>
              <w:rPr>
                <w:rFonts w:ascii="Latin Modern Math" w:hAnsi="Latin Modern Math"/>
              </w:rPr>
              <m:t xml:space="preserve">s·kg</m:t>
            </m:r>
          </m:den>
        </m:f>
      </m:oMath>
      <w:r>
        <w:rPr/>
        <w:t xml:space="preserve">, whereas an entropy-production rate divided by mass has units </w:t>
      </w:r>
      <m:oMath>
        <m:f>
          <m:num>
            <m:r>
              <m:rPr>
                <m:nor m:val="1"/>
                <m:sty m:val="p"/>
              </m:rPr>
              <w:rPr>
                <w:rFonts w:ascii="Latin Modern Math" w:hAnsi="Latin Modern Math"/>
              </w:rPr>
              <m:t xml:space="preserve">J</m:t>
            </m:r>
          </m:num>
          <m:den>
            <m:r>
              <m:rPr>
                <m:nor m:val="1"/>
                <m:sty m:val="p"/>
              </m:rPr>
              <w:rPr>
                <w:rFonts w:ascii="Latin Modern Math" w:hAnsi="Latin Modern Math"/>
              </w:rPr>
              <m:t xml:space="preserve">K·s·kg</m:t>
            </m:r>
          </m:den>
        </m:f>
      </m:oMath>
      <w:r>
        <w:rPr/>
        <w:t xml:space="preserve">. Entropy change and entropy production are also distinct in an open system: the change includes exchanges across the boundary as well as internal production. For the illustrative special case of steady heat transfer P from a hot reservoir at </w:t>
      </w:r>
      <m:oMath>
        <m:sSub>
          <m:e>
            <m:r>
              <m:rPr>
                <m:sty m:val="i"/>
              </m:rPr>
              <w:rPr>
                <w:rFonts w:ascii="Latin Modern Math" w:hAnsi="Latin Modern Math"/>
              </w:rPr>
              <m:t xml:space="preserve">T</m:t>
            </m:r>
          </m:e>
          <m:sub>
            <m:r>
              <m:rPr>
                <m:nor m:val="1"/>
                <m:sty m:val="p"/>
              </m:rPr>
              <w:rPr>
                <w:rFonts w:ascii="Latin Modern Math" w:hAnsi="Latin Modern Math"/>
              </w:rPr>
              <m:t xml:space="preserve">h</m:t>
            </m:r>
          </m:sub>
        </m:sSub>
      </m:oMath>
      <w:r>
        <w:rPr/>
        <w:t xml:space="preserve"> to a cold reservoir at </w:t>
      </w:r>
      <m:oMath>
        <m:sSub>
          <m:e>
            <m:r>
              <m:rPr>
                <m:sty m:val="i"/>
              </m:rPr>
              <w:rPr>
                <w:rFonts w:ascii="Latin Modern Math" w:hAnsi="Latin Modern Math"/>
              </w:rPr>
              <m:t xml:space="preserve">T</m:t>
            </m:r>
          </m:e>
          <m:sub>
            <m:r>
              <m:rPr>
                <m:nor m:val="1"/>
                <m:sty m:val="p"/>
              </m:rPr>
              <w:rPr>
                <w:rFonts w:ascii="Latin Modern Math" w:hAnsi="Latin Modern Math"/>
              </w:rPr>
              <m:t xml:space="preserve">c</m:t>
            </m:r>
          </m:sub>
        </m:sSub>
      </m:oMath>
      <w:r>
        <w:rPr/>
        <w:t xml:space="preserve">, with no other changes, the combined reservoir entropy-production rate is </w:t>
      </w:r>
      <m:oMath>
        <m:r>
          <m:rPr>
            <m:sty m:val="i"/>
          </m:rPr>
          <w:rPr>
            <w:rFonts w:ascii="Latin Modern Math" w:hAnsi="Latin Modern Math"/>
          </w:rPr>
          <m:t xml:space="preserve">P</m:t>
        </m:r>
        <m:d>
          <m:dPr>
            <m:begChr m:val="("/>
            <m:endChr m:val=")"/>
          </m:dPr>
          <m:e>
            <m:f>
              <m:num>
                <m:r>
                  <m:rPr>
                    <m:nor m:val="1"/>
                    <m:sty m:val="p"/>
                  </m:rPr>
                  <w:rPr>
                    <w:rFonts w:ascii="Latin Modern Math" w:hAnsi="Latin Modern Math"/>
                  </w:rPr>
                  <m:t xml:space="preserve">1</m:t>
                </m:r>
              </m:num>
              <m:den>
                <m:sSub>
                  <m:e>
                    <m:r>
                      <m:rPr>
                        <m:sty m:val="i"/>
                      </m:rPr>
                      <w:rPr>
                        <w:rFonts w:ascii="Latin Modern Math" w:hAnsi="Latin Modern Math"/>
                      </w:rPr>
                      <m:t xml:space="preserve">T</m:t>
                    </m:r>
                  </m:e>
                  <m:sub>
                    <m:r>
                      <m:rPr>
                        <m:nor m:val="1"/>
                        <m:sty m:val="p"/>
                      </m:rPr>
                      <w:rPr>
                        <w:rFonts w:ascii="Latin Modern Math" w:hAnsi="Latin Modern Math"/>
                      </w:rPr>
                      <m:t xml:space="preserve">c</m:t>
                    </m:r>
                  </m:sub>
                </m:sSub>
              </m:den>
            </m:f>
            <m:r>
              <m:rPr>
                <m:sty m:val="i"/>
              </m:rPr>
              <w:rPr>
                <w:rFonts w:ascii="Latin Modern Math" w:hAnsi="Latin Modern Math"/>
              </w:rPr>
              <m:t xml:space="preserve"> − </m:t>
            </m:r>
            <m:f>
              <m:num>
                <m:r>
                  <m:rPr>
                    <m:nor m:val="1"/>
                    <m:sty m:val="p"/>
                  </m:rPr>
                  <w:rPr>
                    <w:rFonts w:ascii="Latin Modern Math" w:hAnsi="Latin Modern Math"/>
                  </w:rPr>
                  <m:t xml:space="preserve">1</m:t>
                </m:r>
              </m:num>
              <m:den>
                <m:sSub>
                  <m:e>
                    <m:r>
                      <m:rPr>
                        <m:sty m:val="i"/>
                      </m:rPr>
                      <w:rPr>
                        <w:rFonts w:ascii="Latin Modern Math" w:hAnsi="Latin Modern Math"/>
                      </w:rPr>
                      <m:t xml:space="preserve">T</m:t>
                    </m:r>
                  </m:e>
                  <m:sub>
                    <m:r>
                      <m:rPr>
                        <m:nor m:val="1"/>
                        <m:sty m:val="p"/>
                      </m:rPr>
                      <w:rPr>
                        <w:rFonts w:ascii="Latin Modern Math" w:hAnsi="Latin Modern Math"/>
                      </w:rPr>
                      <m:t xml:space="preserve">h</m:t>
                    </m:r>
                  </m:sub>
                </m:sSub>
              </m:den>
            </m:f>
          </m:e>
        </m:d>
      </m:oMath>
      <w:r>
        <w:rPr/>
        <w:t>. This is an example of the model information needed; it is not applied as a blanket formula to radiation, organisms, or data centres.</w:t>
      </w:r>
    </w:p>
    <w:p>
      <w:pPr/>
      <w:r>
        <w:rPr>
          <w:b/>
        </w:rPr>
        <w:t>Dated electricity total:</w:t>
      </w:r>
      <w:r>
        <w:rPr/>
        <w:t xml:space="preserve"> </w:t>
      </w:r>
      <m:oMath>
        <m:r>
          <m:rPr>
            <m:nor m:val="1"/>
            <m:sty m:val="p"/>
          </m:rPr>
          <w:rPr>
            <w:rFonts w:ascii="Latin Modern Math" w:hAnsi="Latin Modern Math"/>
          </w:rPr>
          <m:t xml:space="preserve">415 TWh × </m:t>
        </m:r>
        <m:sSup>
          <m:e>
            <m:r>
              <m:rPr>
                <m:nor m:val="1"/>
                <m:sty m:val="p"/>
              </m:rPr>
              <w:rPr>
                <w:rFonts w:ascii="Latin Modern Math" w:hAnsi="Latin Modern Math"/>
              </w:rPr>
              <m:t xml:space="preserve">10</m:t>
            </m:r>
          </m:e>
          <m:sup>
            <m:r>
              <m:rPr>
                <m:nor m:val="1"/>
                <m:sty m:val="p"/>
              </m:rPr>
              <w:rPr>
                <w:rFonts w:ascii="Latin Modern Math" w:hAnsi="Latin Modern Math"/>
              </w:rPr>
              <m:t xml:space="preserve">12</m:t>
            </m:r>
          </m:sup>
        </m:sSup>
        <m:r>
          <m:rPr>
            <m:nor m:val="1"/>
            <m:sty m:val="p"/>
          </m:rPr>
          <w:rPr>
            <w:rFonts w:ascii="Latin Modern Math" w:hAnsi="Latin Modern Math"/>
          </w:rPr>
          <m:t xml:space="preserve"> W/TW × 3600 s/h = 1.494 × </m:t>
        </m:r>
        <m:sSup>
          <m:e>
            <m:r>
              <m:rPr>
                <m:nor m:val="1"/>
                <m:sty m:val="p"/>
              </m:rPr>
              <w:rPr>
                <w:rFonts w:ascii="Latin Modern Math" w:hAnsi="Latin Modern Math"/>
              </w:rPr>
              <m:t xml:space="preserve">10</m:t>
            </m:r>
          </m:e>
          <m:sup>
            <m:r>
              <m:rPr>
                <m:nor m:val="1"/>
                <m:sty m:val="p"/>
              </m:rPr>
              <w:rPr>
                <w:rFonts w:ascii="Latin Modern Math" w:hAnsi="Latin Modern Math"/>
              </w:rPr>
              <m:t xml:space="preserve">18</m:t>
            </m:r>
          </m:sup>
        </m:sSup>
        <m:r>
          <m:rPr>
            <m:nor m:val="1"/>
            <m:sty m:val="p"/>
          </m:rPr>
          <w:rPr>
            <w:rFonts w:ascii="Latin Modern Math" w:hAnsi="Latin Modern Math"/>
          </w:rPr>
          <m:t xml:space="preserve"> J</m:t>
        </m:r>
      </m:oMath>
      <w:r>
        <w:rPr/>
        <w:t xml:space="preserve">. Calendar 2024 had </w:t>
      </w:r>
      <m:oMath>
        <m:r>
          <m:rPr>
            <m:nor m:val="1"/>
            <m:sty m:val="p"/>
          </m:rPr>
          <w:rPr>
            <w:rFonts w:ascii="Latin Modern Math" w:hAnsi="Latin Modern Math"/>
          </w:rPr>
          <m:t xml:space="preserve">366 days = 8784 hours</m:t>
        </m:r>
      </m:oMath>
      <w:r>
        <w:rPr/>
        <w:t>. Dividing gives approximately 47.2450 GW average electrical input (unrounded: 47.2449908925 GW). This arithmetic is not used as an entropy estimate and is not a power-density comparison; no system mass is supplied. The reader retains the primary TWh estimate without this optional derived number.</w:t>
      </w:r>
    </w:p>
    <w:p>
      <w:pPr/>
      <w:r>
        <w:rPr>
          <w:b/>
        </w:rPr>
        <w:t>Adult resting brain example:</w:t>
      </w:r>
      <w:r>
        <w:rPr/>
        <w:t xml:space="preserve"> Q06 Table 3 gives mean brain mass 1.33 kg and mean measured resting expenditure 1575 kcal/day; Table 2 gives mean body mass 73.7 kg. Using the evaluated brain coefficient 240 kcal/(kg·day): </w:t>
      </w:r>
      <m:oMath>
        <m:f>
          <m:num>
            <m:r>
              <m:rPr>
                <m:nor m:val="1"/>
                <m:sty m:val="p"/>
              </m:rPr>
              <w:rPr>
                <w:rFonts w:ascii="Latin Modern Math" w:hAnsi="Latin Modern Math"/>
              </w:rPr>
              <m:t xml:space="preserve">1.33</m:t>
            </m:r>
          </m:num>
          <m:den>
            <m:r>
              <m:rPr>
                <m:nor m:val="1"/>
                <m:sty m:val="p"/>
              </m:rPr>
              <w:rPr>
                <w:rFonts w:ascii="Latin Modern Math" w:hAnsi="Latin Modern Math"/>
              </w:rPr>
              <m:t xml:space="preserve">73.7</m:t>
            </m:r>
          </m:den>
        </m:f>
        <m:r>
          <m:rPr>
            <m:nor m:val="1"/>
            <m:sty m:val="p"/>
          </m:rPr>
          <w:rPr>
            <w:rFonts w:ascii="Latin Modern Math" w:hAnsi="Latin Modern Math"/>
          </w:rPr>
          <m:t xml:space="preserve"> ≈ 1.80%</m:t>
        </m:r>
      </m:oMath>
      <w:r>
        <w:rPr/>
        <w:t xml:space="preserve"> of body mass, and </w:t>
      </w:r>
      <m:oMath>
        <m:f>
          <m:num>
            <m:r>
              <m:rPr>
                <m:nor m:val="1"/>
                <m:sty m:val="p"/>
              </m:rPr>
              <w:rPr>
                <w:rFonts w:ascii="Latin Modern Math" w:hAnsi="Latin Modern Math"/>
              </w:rPr>
              <m:t xml:space="preserve">1.33×240</m:t>
            </m:r>
          </m:num>
          <m:den>
            <m:r>
              <m:rPr>
                <m:nor m:val="1"/>
                <m:sty m:val="p"/>
              </m:rPr>
              <w:rPr>
                <w:rFonts w:ascii="Latin Modern Math" w:hAnsi="Latin Modern Math"/>
              </w:rPr>
              <m:t xml:space="preserve">1575</m:t>
            </m:r>
          </m:den>
        </m:f>
        <m:r>
          <m:rPr>
            <m:nor m:val="1"/>
            <m:sty m:val="p"/>
          </m:rPr>
          <w:rPr>
            <w:rFonts w:ascii="Latin Modern Math" w:hAnsi="Latin Modern Math"/>
          </w:rPr>
          <m:t xml:space="preserve"> ≈ 20.27%</m:t>
        </m:r>
      </m:oMath>
      <w:r>
        <w:rPr/>
        <w:t xml:space="preserve"> of resting expenditure. This is a ratio-of-cohort-means illustration with a modeled organ coefficient, not each person's separately measured brain energy fraction. Specific-rate conversion gives </w:t>
      </w:r>
      <m:oMath>
        <m:f>
          <m:num>
            <m:r>
              <m:rPr>
                <m:nor m:val="1"/>
                <m:sty m:val="p"/>
              </m:rPr>
              <w:rPr>
                <w:rFonts w:ascii="Latin Modern Math" w:hAnsi="Latin Modern Math"/>
              </w:rPr>
              <m:t xml:space="preserve">240×4184</m:t>
            </m:r>
          </m:num>
          <m:den>
            <m:r>
              <m:rPr>
                <m:nor m:val="1"/>
                <m:sty m:val="p"/>
              </m:rPr>
              <w:rPr>
                <w:rFonts w:ascii="Latin Modern Math" w:hAnsi="Latin Modern Math"/>
              </w:rPr>
              <m:t xml:space="preserve">86400</m:t>
            </m:r>
          </m:den>
        </m:f>
        <m:r>
          <m:rPr>
            <m:nor m:val="1"/>
            <m:sty m:val="p"/>
          </m:rPr>
          <w:rPr>
            <w:rFonts w:ascii="Latin Modern Math" w:hAnsi="Latin Modern Math"/>
          </w:rPr>
          <m:t xml:space="preserve"> ≈ 11.62 W/kg</m:t>
        </m:r>
      </m:oMath>
      <w:r>
        <w:rPr/>
        <w:t xml:space="preserve"> for brain and </w:t>
      </w:r>
      <m:oMath>
        <m:f>
          <m:num>
            <m:r>
              <m:rPr>
                <m:nor m:val="1"/>
                <m:sty m:val="p"/>
              </m:rPr>
              <w:rPr>
                <w:rFonts w:ascii="Latin Modern Math" w:hAnsi="Latin Modern Math"/>
              </w:rPr>
              <m:t xml:space="preserve">440×4184</m:t>
            </m:r>
          </m:num>
          <m:den>
            <m:r>
              <m:rPr>
                <m:nor m:val="1"/>
                <m:sty m:val="p"/>
              </m:rPr>
              <w:rPr>
                <w:rFonts w:ascii="Latin Modern Math" w:hAnsi="Latin Modern Math"/>
              </w:rPr>
              <m:t xml:space="preserve">86400</m:t>
            </m:r>
          </m:den>
        </m:f>
        <m:r>
          <m:rPr>
            <m:nor m:val="1"/>
            <m:sty m:val="p"/>
          </m:rPr>
          <w:rPr>
            <w:rFonts w:ascii="Latin Modern Math" w:hAnsi="Latin Modern Math"/>
          </w:rPr>
          <m:t xml:space="preserve"> ≈ 21.31 W/kg</m:t>
        </m:r>
      </m:oMath>
      <w:r>
        <w:rPr/>
        <w:t xml:space="preserve"> for heart/kidneys; neither is entropy production.</w:t>
      </w:r>
    </w:p>
    <w:p>
      <w:pPr>
        <w:pStyle w:val="Heading2"/>
      </w:pPr>
      <w:bookmarkStart w:id="77" w:name="v3_l659"/>
      <w:r>
        <w:t>Remaining questions and exclusions</w:t>
      </w:r>
      <w:bookmarkEnd w:id="77"/>
    </w:p>
    <w:p>
      <w:pPr>
        <w:pStyle w:val="ListBullet"/>
      </w:pPr>
      <w:r>
        <w:rPr/>
        <w:t>No comparable dataset or entropy balances establish a universal increase at every rung, or superiority of every bacterium over every nonliving reaction system. Both universal claims are withdrawn rather than assigned a softer tier.</w:t>
      </w:r>
    </w:p>
    <w:p>
      <w:pPr>
        <w:pStyle w:val="ListBullet"/>
      </w:pPr>
      <w:r>
        <w:rPr/>
        <w:t>No system-specific mechanism connects the second law or MEPP to the necessity or generic comparative likelihood of life, brains, or AI. P03/P04/P07/P08 retain their own assumptions and scope.</w:t>
      </w:r>
    </w:p>
    <w:p>
      <w:pPr>
        <w:pStyle w:val="ListBullet"/>
      </w:pPr>
      <w:r>
        <w:rPr/>
        <w:t>No quantitative model links terrestrial electricity use to stellar correction, a Fermi explanation, or a common physical scale law for interpersonal conflict and war. These are explicitly literary/critical material in Chapter 4, not pending predictions.</w:t>
      </w:r>
    </w:p>
    <w:p>
      <w:pPr>
        <w:pStyle w:val="ListBullet"/>
      </w:pPr>
      <w:r>
        <w:rPr/>
        <w:t>The exact primary provenance of the 53–76 TWh endpoints remains unresolved; geographic/equipment/time-boundary problems are documented and the figure is not retained.</w:t>
      </w:r>
    </w:p>
    <w:p>
      <w:pPr>
        <w:pStyle w:val="ListBullet"/>
      </w:pPr>
      <w:r>
        <w:rPr/>
        <w:t>No AI deployment was inspected. Context-window limits, sessions, process lifecycle, persistence, and experience cannot be equated from the manuscript. Neither phenomenal presence nor absence is asserted.</w:t>
      </w:r>
    </w:p>
    <w:p>
      <w:pPr>
        <w:pStyle w:val="ListBullet"/>
      </w:pPr>
      <w:r>
        <w:rPr/>
        <w:t>No universal conscious sampling rate or physical relational-entropy quantum has been established. Q08 preserves a specific experiment; the Trinket remains a conceptual accounting proposal.</w:t>
      </w:r>
    </w:p>
    <w:p>
      <w:pPr>
        <w:pStyle w:val="ListBullet"/>
      </w:pPr>
      <w:r>
        <w:rPr/>
        <w:t>Volumes 1, 2, 4 and 5 supply continuity only. This work makes no claim of independently validating their conceptual units or measurement proposals.</w:t>
      </w:r>
    </w:p>
    <w:sectPr w:rsidR="00FC693F" w:rsidRPr="0006063C" w:rsidSect="00034616">
      <w:footerReference w:type="default" r:id="rId9"/>
      <w:pgSz w:w="12240" w:h="15840"/>
      <w:pgMar w:top="1267" w:right="1440" w:bottom="1181" w:left="1440"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80"/>
    </w:pPr>
    <w:rPr>
      <w:rFonts w:ascii="Liberation Serif" w:hAnsi="Liberation Serif" w:eastAsia="Liberation Serif" w:cs="Liberation Serif"/>
      <w:b w:val="0"/>
      <w:i w:val="0"/>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220" w:line="247" w:lineRule="auto"/>
      <w:outlineLvl w:val="0"/>
    </w:pPr>
    <w:rPr>
      <w:rFonts w:ascii="Liberation Serif" w:hAnsi="Liberation Serif" w:eastAsia="Liberation Serif" w:cs="Liberation Serif"/>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line="247" w:lineRule="auto"/>
      <w:outlineLvl w:val="1"/>
    </w:pPr>
    <w:rPr>
      <w:rFonts w:ascii="Liberation Serif" w:hAnsi="Liberation Serif" w:eastAsia="Liberation Serif" w:cs="Liberation Serif"/>
      <w:b/>
      <w:bCs/>
      <w:i w:val="0"/>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7" w:lineRule="auto"/>
      <w:outlineLvl w:val="2"/>
    </w:pPr>
    <w:rPr>
      <w:rFonts w:ascii="Liberation Serif" w:hAnsi="Liberation Serif" w:eastAsia="Liberation Serif" w:cs="Liberation Serif"/>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180" w:after="100" w:line="247" w:lineRule="auto"/>
      <w:outlineLvl w:val="3"/>
    </w:pPr>
    <w:rPr>
      <w:rFonts w:ascii="Liberation Serif" w:hAnsi="Liberation Serif" w:eastAsia="Liberation Serif" w:cs="Liberation Serif"/>
      <w:b/>
      <w:bCs/>
      <w:i w:val="0"/>
      <w:iCs/>
      <w:color w:val="000000"/>
      <w:sz w:val="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360" w:line="247" w:lineRule="auto" w:before="2000"/>
      <w:contextualSpacing/>
      <w:jc w:val="center"/>
    </w:pPr>
    <w:rPr>
      <w:rFonts w:ascii="Liberation Serif" w:hAnsi="Liberation Serif" w:eastAsia="Liberation Serif" w:cs="Liberation Serif"/>
      <w:b/>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360" w:line="247" w:lineRule="auto"/>
      <w:jc w:val="center"/>
    </w:pPr>
    <w:rPr>
      <w:rFonts w:ascii="Liberation Serif" w:hAnsi="Liberation Serif" w:eastAsia="Liberation Serif" w:cs="Liberation Serif"/>
      <w:b w:val="0"/>
      <w:i w:val="0"/>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contextualSpacing/>
    </w:pPr>
    <w:rPr>
      <w:rFonts w:ascii="Liberation Serif" w:hAnsi="Liberation Serif" w:eastAsia="Liberation Serif" w:cs="Liberation Serif"/>
      <w:b w:val="0"/>
      <w:i w:val="0"/>
      <w:color w:val="000000"/>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Metadata">
    <w:name w:val="Book Metadata"/>
    <w:basedOn w:val="Normal"/>
    <w:pPr>
      <w:keepLines w:val="0"/>
      <w:spacing w:after="160" w:line="252" w:lineRule="auto"/>
      <w:jc w:val="center"/>
    </w:pPr>
    <w:rPr>
      <w:rFonts w:ascii="Liberation Serif" w:hAnsi="Liberation Serif" w:eastAsia="Liberation Serif" w:cs="Liberation Serif"/>
      <w:b w:val="0"/>
      <w:i w:val="0"/>
      <w:color w:val="000000"/>
      <w:sz w:val="23"/>
    </w:rPr>
  </w:style>
  <w:style w:type="paragraph" w:customStyle="1" w:styleId="Reference">
    <w:name w:val="Reference"/>
    <w:basedOn w:val="Normal"/>
    <w:pPr>
      <w:keepLines/>
      <w:spacing w:after="140" w:line="252" w:lineRule="auto"/>
      <w:ind w:left="259" w:hanging="259"/>
    </w:pPr>
    <w:rPr>
      <w:rFonts w:ascii="Liberation Serif" w:hAnsi="Liberation Serif" w:eastAsia="Liberation Serif" w:cs="Liberation Serif"/>
      <w:b w:val="0"/>
      <w:i w:val="0"/>
      <w:color w:val="000000"/>
      <w:sz w:val="21"/>
    </w:rPr>
  </w:style>
  <w:style w:type="paragraph" w:customStyle="1" w:styleId="BookTable">
    <w:name w:val="Book Table"/>
    <w:basedOn w:val="Normal"/>
    <w:pPr>
      <w:keepLines/>
      <w:spacing w:after="0" w:line="252" w:lineRule="auto"/>
    </w:pPr>
    <w:rPr>
      <w:rFonts w:ascii="Liberation Serif" w:hAnsi="Liberation Serif" w:eastAsia="Liberation Serif" w:cs="Liberation Serif"/>
      <w:b w:val="0"/>
      <w:i w:val="0"/>
      <w:color w:val="000000"/>
      <w:sz w:val="21"/>
    </w:rPr>
  </w:style>
  <w:style w:type="paragraph" w:customStyle="1" w:styleId="ContentsEntry">
    <w:name w:val="Contents Entry"/>
    <w:basedOn w:val="Normal"/>
    <w:pPr>
      <w:keepLines/>
      <w:tabs>
        <w:tab w:pos="9360" w:val="right" w:leader="dot"/>
      </w:tabs>
      <w:spacing w:after="100" w:line="252" w:lineRule="auto"/>
    </w:pPr>
    <w:rPr>
      <w:rFonts w:ascii="Liberation Serif" w:hAnsi="Liberation Serif" w:eastAsia="Liberation Serif" w:cs="Liberation Serif"/>
      <w:b w:val="0"/>
      <w:i w:val="0"/>
      <w:color w:val="000000"/>
      <w:sz w:val="23"/>
    </w:rPr>
  </w:style>
  <w:style w:type="paragraph" w:customStyle="1" w:styleId="ContentsVolume">
    <w:name w:val="Contents Volume"/>
    <w:basedOn w:val="Normal"/>
    <w:pPr>
      <w:keepLines/>
      <w:tabs>
        <w:tab w:pos="9360" w:val="right" w:leader="dot"/>
      </w:tabs>
      <w:spacing w:after="160" w:line="252" w:lineRule="auto"/>
    </w:pPr>
    <w:rPr>
      <w:rFonts w:ascii="Liberation Serif" w:hAnsi="Liberation Serif" w:eastAsia="Liberation Serif" w:cs="Liberation Serif"/>
      <w:b/>
      <w:i w:val="0"/>
      <w:color w:val="000000"/>
      <w:sz w:val="24"/>
    </w:rPr>
  </w:style>
  <w:style w:type="paragraph" w:customStyle="1" w:styleId="Equation">
    <w:name w:val="Equation"/>
    <w:basedOn w:val="Normal"/>
    <w:pPr>
      <w:keepLines/>
      <w:spacing w:after="180" w:line="252" w:lineRule="auto" w:before="100"/>
      <w:jc w:val="center"/>
    </w:pPr>
    <w:rPr>
      <w:rFonts w:ascii="Liberation Serif" w:hAnsi="Liberation Serif" w:eastAsia="Liberation Serif" w:cs="Liberation Serif"/>
      <w:b w:val="0"/>
      <w:i w:val="0"/>
      <w:color w:val="000000"/>
      <w:sz w:val="23"/>
    </w:rPr>
  </w:style>
  <w:style w:type="paragraph" w:customStyle="1" w:styleId="BookFooter">
    <w:name w:val="Book Footer"/>
    <w:basedOn w:val="Normal"/>
    <w:pPr>
      <w:keepLines w:val="0"/>
      <w:spacing w:after="0" w:line="252" w:lineRule="auto"/>
    </w:pPr>
    <w:rPr>
      <w:rFonts w:ascii="Liberation Serif" w:hAnsi="Liberation Serif" w:eastAsia="Liberation Serif" w:cs="Liberation Serif"/>
      <w:b w:val="0"/>
      <w:i w:val="0"/>
      <w:color w:val="000000"/>
      <w:sz w:val="18"/>
    </w:rPr>
  </w:style>
  <w:style w:type="character" w:customStyle="1" w:styleId="SourceLiteral">
    <w:name w:val="Source Literal"/>
    <w:rPr>
      <w:rFonts w:ascii="Liberation Serif" w:hAnsi="Liberation Seri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uposystem.ai/entropy-volumes/volume-3-the-progression/" TargetMode="External"/><Relationship Id="rId11" Type="http://schemas.openxmlformats.org/officeDocument/2006/relationships/hyperlink" Target="https://creativecommons.org/licenses/by-nc-sa/4.0/" TargetMode="External"/><Relationship Id="rId12" Type="http://schemas.openxmlformats.org/officeDocument/2006/relationships/hyperlink" Target="https://doi.org/10.1155/2014/384912" TargetMode="External"/><Relationship Id="rId13" Type="http://schemas.openxmlformats.org/officeDocument/2006/relationships/hyperlink" Target="https://doi.org/10.3390/e17127857" TargetMode="External"/><Relationship Id="rId14" Type="http://schemas.openxmlformats.org/officeDocument/2006/relationships/hyperlink" Target="https://lweb.cfa.harvard.edu/~ejchaisson/reprints/entropy_2015_FINAL.pdf" TargetMode="External"/><Relationship Id="rId15" Type="http://schemas.openxmlformats.org/officeDocument/2006/relationships/hyperlink" Target="https://doi.org/10.1063/1.4818538" TargetMode="External"/><Relationship Id="rId16" Type="http://schemas.openxmlformats.org/officeDocument/2006/relationships/hyperlink" Target="https://www.englandlab.com/uploads/7/8/0/3/7803054/2013jcpsrep.pdf" TargetMode="External"/><Relationship Id="rId17" Type="http://schemas.openxmlformats.org/officeDocument/2006/relationships/hyperlink" Target="https://doi.org/10.1103/PhysRevX.6.021036" TargetMode="External"/><Relationship Id="rId18" Type="http://schemas.openxmlformats.org/officeDocument/2006/relationships/hyperlink" Target="https://robertvsiii.github.io/assets/repository/perunov2016statistical.pdf" TargetMode="External"/><Relationship Id="rId19" Type="http://schemas.openxmlformats.org/officeDocument/2006/relationships/hyperlink" Target="https://dspace.mit.edu/entities/publication/d7d6e50c-ac68-489e-b0df-a0588e9f0bba" TargetMode="External"/><Relationship Id="rId20" Type="http://schemas.openxmlformats.org/officeDocument/2006/relationships/hyperlink" Target="https://doi.org/10.1098/rsfs.2018.0041" TargetMode="External"/><Relationship Id="rId21" Type="http://schemas.openxmlformats.org/officeDocument/2006/relationships/hyperlink" Target="https://artemyk.github.io/assets/pdf/papers/Kolchinsky_Wolpert_2018_Semantic%20information,%20autonomous%20agency%20and%20non-equilibrium%20statistical%20physics.pdf" TargetMode="External"/><Relationship Id="rId22" Type="http://schemas.openxmlformats.org/officeDocument/2006/relationships/hyperlink" Target="https://arxiv.org/abs/1806.08053" TargetMode="External"/><Relationship Id="rId23" Type="http://schemas.openxmlformats.org/officeDocument/2006/relationships/hyperlink" Target="https://doi.org/10.1103/PhysRevLett.109.120604" TargetMode="External"/><Relationship Id="rId24" Type="http://schemas.openxmlformats.org/officeDocument/2006/relationships/hyperlink" Target="https://arxiv.org/pdf/1203.3271" TargetMode="External"/><Relationship Id="rId25" Type="http://schemas.openxmlformats.org/officeDocument/2006/relationships/hyperlink" Target="https://link.aps.org/accepted/10.1103/PhysRevLett.109.120604" TargetMode="External"/><Relationship Id="rId26" Type="http://schemas.openxmlformats.org/officeDocument/2006/relationships/hyperlink" Target="https://doi.org/10.1126/science.abc6182" TargetMode="External"/><Relationship Id="rId27" Type="http://schemas.openxmlformats.org/officeDocument/2006/relationships/hyperlink" Target="https://arxiv.org/html/2101.00683" TargetMode="External"/><Relationship Id="rId28" Type="http://schemas.openxmlformats.org/officeDocument/2006/relationships/hyperlink" Target="https://arxiv.org/pdf/2101.00683" TargetMode="External"/><Relationship Id="rId29" Type="http://schemas.openxmlformats.org/officeDocument/2006/relationships/hyperlink" Target="https://doi.org/10.3367/UFNe.2020.08.038819" TargetMode="External"/><Relationship Id="rId30" Type="http://schemas.openxmlformats.org/officeDocument/2006/relationships/hyperlink" Target="https://ufn.ru/ufn2021/ufn2021_6/ufn216b.pdf" TargetMode="External"/><Relationship Id="rId31" Type="http://schemas.openxmlformats.org/officeDocument/2006/relationships/hyperlink" Target="https://preposterousuniverse.com/blog/2014/02/03/reality-pushed-from-behind/" TargetMode="External"/><Relationship Id="rId32" Type="http://schemas.openxmlformats.org/officeDocument/2006/relationships/hyperlink" Target="https://arxiv.org/abs/hep-th/0410270" TargetMode="External"/><Relationship Id="rId33" Type="http://schemas.openxmlformats.org/officeDocument/2006/relationships/hyperlink" Target="https://arxiv.org/pdf/hep-th/0410270" TargetMode="External"/><Relationship Id="rId34" Type="http://schemas.openxmlformats.org/officeDocument/2006/relationships/hyperlink" Target="https://doi.org/10.1038/nature13702" TargetMode="External"/><Relationship Id="rId35" Type="http://schemas.openxmlformats.org/officeDocument/2006/relationships/hyperlink" Target="https://doi.org/10.1038/nature03219" TargetMode="External"/><Relationship Id="rId36" Type="http://schemas.openxmlformats.org/officeDocument/2006/relationships/hyperlink" Target="https://doi.org/10.1073/pnas.68.2.486" TargetMode="External"/><Relationship Id="rId37" Type="http://schemas.openxmlformats.org/officeDocument/2006/relationships/hyperlink" Target="https://pmc.ncbi.nlm.nih.gov/articles/PMC388966/" TargetMode="External"/><Relationship Id="rId38" Type="http://schemas.openxmlformats.org/officeDocument/2006/relationships/hyperlink" Target="https://doi.org/10.1086/312881" TargetMode="External"/><Relationship Id="rId39" Type="http://schemas.openxmlformats.org/officeDocument/2006/relationships/hyperlink" Target="https://citeseerx.ist.psu.edu/document?doi=0a66d2e5e82ce7c39a99c4d8b15d333f8d0f61a8&amp;repid=rep1&amp;type=pdf" TargetMode="External"/><Relationship Id="rId40" Type="http://schemas.openxmlformats.org/officeDocument/2006/relationships/hyperlink" Target="https://doi.org/10.3945/ajcn.2010.29885" TargetMode="External"/><Relationship Id="rId41" Type="http://schemas.openxmlformats.org/officeDocument/2006/relationships/hyperlink" Target="https://pmc.ncbi.nlm.nih.gov/articles/PMC2980962/" TargetMode="External"/><Relationship Id="rId42" Type="http://schemas.openxmlformats.org/officeDocument/2006/relationships/hyperlink" Target="https://www.iea.org/reports/energy-and-ai/energy-demand-from-ai" TargetMode="External"/><Relationship Id="rId43" Type="http://schemas.openxmlformats.org/officeDocument/2006/relationships/hyperlink" Target="https://doi.org/10.1523/JNEUROSCI.0113-09.2009" TargetMode="External"/><Relationship Id="rId44" Type="http://schemas.openxmlformats.org/officeDocument/2006/relationships/hyperlink" Target="https://pmc.ncbi.nlm.nih.gov/articles/PMC6665641/" TargetMode="External"/><Relationship Id="rId45" Type="http://schemas.openxmlformats.org/officeDocument/2006/relationships/hyperlink" Target="https://doi.org/10.1073/pnas.0803151105" TargetMode="External"/><Relationship Id="rId46" Type="http://schemas.openxmlformats.org/officeDocument/2006/relationships/hyperlink" Target="https://lenski.mmg.msu.edu/lenski/pdf/2008%2C%20PNAS%2C%20Blount%20et%20al.pdf" TargetMode="External"/><Relationship Id="rId47" Type="http://schemas.openxmlformats.org/officeDocument/2006/relationships/hyperlink" Target="https://doi.org/10.1126/science.177.4047.393" TargetMode="External"/><Relationship Id="rId48" Type="http://schemas.openxmlformats.org/officeDocument/2006/relationships/hyperlink" Target="https://aiichironakano.github.io/cs596/Anderson-MoreIsDifferent-Science72.pdf" TargetMode="External"/><Relationship Id="rId49" Type="http://schemas.openxmlformats.org/officeDocument/2006/relationships/hyperlink" Target="https://doi.org/10.1119/1.3119513" TargetMode="External"/><Relationship Id="rId50" Type="http://schemas.openxmlformats.org/officeDocument/2006/relationships/hyperlink" Target="https://arxiv.org/abs/0903.4603" TargetMode="External"/><Relationship Id="rId51" Type="http://schemas.openxmlformats.org/officeDocument/2006/relationships/hyperlink" Target="https://arxiv.org/pdf/0903.4603" TargetMode="External"/><Relationship Id="rId52" Type="http://schemas.openxmlformats.org/officeDocument/2006/relationships/hyperlink" Target="https://doi.org/10.71468/P1WC7Q" TargetMode="External"/><Relationship Id="rId53" Type="http://schemas.openxmlformats.org/officeDocument/2006/relationships/hyperlink" Target="https://eta-publications.lbl.gov/publications/2024-lbnl-data-center-energy-usage-report" TargetMode="External"/><Relationship Id="rId54" Type="http://schemas.openxmlformats.org/officeDocument/2006/relationships/hyperlink" Target="https://eta-publications.lbl.gov/sites/default/files/2024-12/lbnl-2024-united-states-data-center-energy-usage-report_1.pdf" TargetMode="External"/><Relationship Id="rId55" Type="http://schemas.openxmlformats.org/officeDocument/2006/relationships/hyperlink" Target="https://doi.org/10.1016/0028-3932(81)90005-1" TargetMode="External"/><Relationship Id="rId56" Type="http://schemas.openxmlformats.org/officeDocument/2006/relationships/hyperlink" Target="https://pubmed.ncbi.nlm.nih.gov/7312152/" TargetMode="External"/><Relationship Id="rId57" Type="http://schemas.openxmlformats.org/officeDocument/2006/relationships/hyperlink" Target="https://www.nobelprize.org/uploads/2018/06/prigogine-lecture.pdf" TargetMode="External"/><Relationship Id="rId58" Type="http://schemas.openxmlformats.org/officeDocument/2006/relationships/hyperlink" Target="https://doi.org/10.1126/science.201.4358.777" TargetMode="External"/><Relationship Id="rId59" Type="http://schemas.openxmlformats.org/officeDocument/2006/relationships/hyperlink" Target="https://pubmed.ncbi.nlm.nih.gov/17738519/" TargetMode="External"/><Relationship Id="rId60" Type="http://schemas.openxmlformats.org/officeDocument/2006/relationships/hyperlink" Target="https://studylib.net/doc/12894915/time--structure-and-fluctuations" TargetMode="External"/><Relationship Id="rId61" Type="http://schemas.openxmlformats.org/officeDocument/2006/relationships/hyperlink" Target="https://citeseerx.ist.psu.edu/document?doi=97e696fec2380e5013af475d2c16f79745ed6aa2&amp;repid=rep1&amp;type=pdf" TargetMode="External"/><Relationship Id="rId62" Type="http://schemas.openxmlformats.org/officeDocument/2006/relationships/hyperlink" Target="https://doi.org/10.1038/226727a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Entropy Volume 3 Second Edition</dc:title>
  <dc:subject>Entropy second edition October 2026</dc:subject>
  <dc:creator>Michael S. Moniz</dc:creator>
  <cp:keywords>Entropy; Trinket Soul Framework; second edition</cp:keywords>
  <dc:description/>
  <cp:lastModifiedBy/>
  <cp:revision>1</cp:revision>
  <dcterms:created xsi:type="dcterms:W3CDTF">2013-12-23T23:15:00Z</dcterms:created>
  <dcterms:modified xsi:type="dcterms:W3CDTF">2013-12-23T23:15:00Z</dcterms:modified>
  <cp:category/>
</cp:coreProperties>
</file>