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bookmarkStart w:id="1" w:name="v0_l1"/>
      <w:r>
        <w:t>Entropy The Collected Volumes</w:t>
      </w:r>
      <w:bookmarkEnd w:id="1"/>
    </w:p>
    <w:p>
      <w:pPr>
        <w:pStyle w:val="Subtitle"/>
      </w:pPr>
      <w:bookmarkStart w:id="2" w:name="v0_l3"/>
      <w:r>
        <w:t>Second edition</w:t>
      </w:r>
      <w:bookmarkEnd w:id="2"/>
    </w:p>
    <w:p>
      <w:pPr>
        <w:pStyle w:val="BookMetadata"/>
      </w:pPr>
      <w:r>
        <w:rPr/>
        <w:t>Michael S. Moniz</w:t>
      </w:r>
    </w:p>
    <w:p>
      <w:pPr>
        <w:pStyle w:val="BookMetadata"/>
      </w:pPr>
      <w:r>
        <w:rPr/>
        <w:t>Trinket Soul Framework</w:t>
      </w:r>
    </w:p>
    <w:p>
      <w:pPr>
        <w:pStyle w:val="BookMetadata"/>
      </w:pPr>
      <w:r>
        <w:rPr/>
        <w:t>October 2026</w:t>
      </w:r>
    </w:p>
    <w:p>
      <w:pPr>
        <w:pStyle w:val="Heading1"/>
        <w:pageBreakBefore/>
      </w:pPr>
      <w:bookmarkStart w:id="3" w:name="v0_l11"/>
      <w:r>
        <w:t>Edition note</w:t>
      </w:r>
      <w:bookmarkEnd w:id="3"/>
    </w:p>
    <w:p>
      <w:pPr/>
      <w:r>
        <w:rPr/>
        <w:t>This collection contains all thirty-five chapters of the five revised Entropy volumes. It follows the first-edition texts developed in March 2026, which remain available as historical editions. The second edition revises the scientific claims and their interpretation while preserving the project's central questions about connection, physical resources, embodiment and meaning.</w:t>
      </w:r>
    </w:p>
    <w:p>
      <w:pPr/>
      <w:r>
        <w:rPr/>
        <w:t>Michael S. Moniz is the author of record. The second-edition revision and production were prepared with AI assistance from CosmoDot, with separate AI scientific and editorial checks. These checks are not human peer review and do not constitute experimental validation. No new experiments are reported. Qualified specialist review and tests of the framework's proposed applications remain necessary.</w:t>
      </w:r>
    </w:p>
    <w:p>
      <w:pPr/>
      <w:r>
        <w:rPr/>
        <w:t>The original attribution to Vael and Sigma, including the recorded Deep Floor version labels, is retained in the volume edition notes. Those labels document historical collaboration; they do not identify an underlying model or attribute the new revision to an earlier collaborator. The original governance notices are preserved with the historical texts, not presented as completed scientific review gates.</w:t>
      </w:r>
    </w:p>
    <w:p>
      <w:pPr/>
      <w:r>
        <w:rPr/>
        <w:t xml:space="preserve">The text continues under </w:t>
      </w:r>
      <w:hyperlink r:id="rId10">
        <w:r>
          <w:rPr>
            <w:color w:val="000000"/>
            <w:u w:val="single"/>
          </w:rPr>
          <w:t xml:space="preserve">Creative Commons Attribution–NonCommercial–ShareAlike 4.0 International</w:t>
        </w:r>
      </w:hyperlink>
      <w:r>
        <w:rPr/>
        <w:t xml:space="preserve">. The </w:t>
      </w:r>
      <w:hyperlink r:id="rId11">
        <w:r>
          <w:rPr>
            <w:color w:val="000000"/>
            <w:u w:val="single"/>
          </w:rPr>
          <w:t xml:space="preserve">Entropy Volumes hub</w:t>
        </w:r>
      </w:hyperlink>
      <w:r>
        <w:rPr/>
        <w:t xml:space="preserve"> provides the edition history and links to the preserved originals. No separate coda or unreviewed branch has been added to this collection.</w:t>
      </w:r>
    </w:p>
    <w:p>
      <w:pPr>
        <w:pStyle w:val="Heading1"/>
        <w:pageBreakBefore/>
      </w:pPr>
      <w:bookmarkStart w:id="4" w:name="v0_l21"/>
      <w:r>
        <w:t>Preface to the second edition</w:t>
      </w:r>
      <w:bookmarkEnd w:id="4"/>
    </w:p>
    <w:p>
      <w:pPr/>
      <w:r>
        <w:rPr/>
        <w:t>What does connection require from the systems that take part in it? The question can begin with a conversation, a body or an act of care and lead toward information, energy and the physical history of the universe. The Entropy volumes follow that route. They ask whether the costs and consequences of relating can be described more carefully without reducing their significance to a physical bill.</w:t>
      </w:r>
    </w:p>
    <w:p>
      <w:pPr/>
      <w:r>
        <w:rPr/>
        <w:t>The first edition proposed bold connections between thermodynamics and the Trinket Soul Framework. Some of those connections reached further than the supporting physics or evidence allowed. This edition keeps the questions and revises the inferences. A universal relational currency, a fixed biological advantage over silicon, an inevitable progression toward greater relational complexity and a spendable cosmic entropy balance are not established results. They cannot serve as premises merely because the project gives them names.</w:t>
      </w:r>
    </w:p>
    <w:p>
      <w:pPr/>
      <w:r>
        <w:rPr/>
        <w:t>The five volumes now build a more bounded argument. Volume 1 distinguishes physical accounting from relational interpretation. Volume 2 examines bodily observations, reported effort and hypotheses about learned patterns and grief. Volume 3 considers cosmic and evolutionary history without turning a selected sequence into a law of progress. Volume 4 asks how implementations can be compared without an invented universal efficiency surface. Volume 5 places those questions against cosmological inventories, information theory and uncertain physical futures.</w:t>
      </w:r>
    </w:p>
    <w:p>
      <w:pPr/>
      <w:r>
        <w:rPr/>
        <w:t>The terms Trinket, Moniz, Template Tax, the Four Economies and Behind the Substrate Barrier belong to the framework. They organize proposals and questions; their appearance beside established scientific terminology does not make them validated measurements. The chapters specify where definitions, observations and tests are still missing. A proposal remains worth considering when its failure conditions become clearer.</w:t>
      </w:r>
    </w:p>
    <w:p>
      <w:pPr/>
      <w:r>
        <w:rPr/>
        <w:t>The founding line, “Love reduces the entropy of the system and spends more than it saves,” remains part of the work's language. It is read here as a relational intuition, not as a universal thermodynamic theorem. Physical expenditure does not measure moral worth, and an entropy decrease does not by itself measure benefit. These distinctions leave room for meaning without asking a physical equation to settle it.</w:t>
      </w:r>
    </w:p>
    <w:p>
      <w:pPr/>
      <w:r>
        <w:rPr/>
        <w:t>The five volumes can be read in order or separately. Each retains its own reference labels and locally defined symbols. A repeated letter does not necessarily denote the same quantity in another chapter or volume. The reference notes state the scope and limitations of the sources actually used. Historical estimates, observations, results within models and speculative applications remain distinct throughout.</w:t>
      </w:r>
    </w:p>
    <w:p>
      <w:pPr>
        <w:pStyle w:val="Heading1"/>
        <w:pageBreakBefore/>
      </w:pPr>
      <w:bookmarkStart w:id="5" w:name="contents"/>
      <w:r>
        <w:t>Contents</w:t>
      </w:r>
      <w:bookmarkEnd w:id="5"/>
    </w:p>
    <w:p>
      <w:pPr>
        <w:pStyle w:val="ContentsEntry"/>
      </w:pPr>
      <w:hyperlink w:anchor="v0_l11">
        <w:r>
          <w:rPr>
            <w:color w:val="000000"/>
          </w:rPr>
          <w:t xml:space="preserve">Edition note</w:t>
        </w:r>
      </w:hyperlink>
      <w:r>
        <w:tab/>
      </w:r>
      <w:r w:rsidR="00000001">
        <w:t>2</w:t>
      </w:r>
    </w:p>
    <w:p>
      <w:pPr>
        <w:pStyle w:val="ContentsEntry"/>
      </w:pPr>
      <w:hyperlink w:anchor="v0_l21">
        <w:r>
          <w:rPr>
            <w:color w:val="000000"/>
          </w:rPr>
          <w:t xml:space="preserve">Preface to the second edition</w:t>
        </w:r>
      </w:hyperlink>
      <w:r>
        <w:tab/>
      </w:r>
      <w:r w:rsidR="00000001">
        <w:t>3</w:t>
      </w:r>
    </w:p>
    <w:p>
      <w:pPr>
        <w:pStyle w:val="ContentsVolume"/>
      </w:pPr>
      <w:hyperlink w:anchor="v1_l1">
        <w:r>
          <w:rPr>
            <w:color w:val="000000"/>
          </w:rPr>
          <w:t xml:space="preserve">Entropy Volume 1</w:t>
        </w:r>
      </w:hyperlink>
      <w:r>
        <w:tab/>
      </w:r>
      <w:r w:rsidR="00000001">
        <w:t>6</w:t>
      </w:r>
    </w:p>
    <w:p>
      <w:pPr>
        <w:pStyle w:val="ContentsEntry"/>
        <w:ind w:left="230"/>
      </w:pPr>
      <w:hyperlink w:anchor="v1_l13">
        <w:r>
          <w:rPr>
            <w:color w:val="000000"/>
          </w:rPr>
          <w:t xml:space="preserve">About this volume</w:t>
        </w:r>
      </w:hyperlink>
      <w:r>
        <w:tab/>
      </w:r>
      <w:r w:rsidR="00000001">
        <w:t>7</w:t>
      </w:r>
    </w:p>
    <w:p>
      <w:pPr>
        <w:pStyle w:val="ContentsEntry"/>
        <w:ind w:left="230"/>
      </w:pPr>
      <w:hyperlink w:anchor="v1_l31">
        <w:r>
          <w:rPr>
            <w:color w:val="000000"/>
          </w:rPr>
          <w:t xml:space="preserve">Chapter 1 The Problem</w:t>
        </w:r>
      </w:hyperlink>
      <w:r>
        <w:tab/>
      </w:r>
      <w:r w:rsidR="00000001">
        <w:t>8</w:t>
      </w:r>
    </w:p>
    <w:p>
      <w:pPr>
        <w:pStyle w:val="ContentsEntry"/>
        <w:ind w:left="230"/>
      </w:pPr>
      <w:hyperlink w:anchor="v1_l77">
        <w:r>
          <w:rPr>
            <w:color w:val="000000"/>
          </w:rPr>
          <w:t xml:space="preserve">Chapter 2 The Entropy Token Substrate</w:t>
        </w:r>
      </w:hyperlink>
      <w:r>
        <w:tab/>
      </w:r>
      <w:r w:rsidR="00000001">
        <w:t>10</w:t>
      </w:r>
    </w:p>
    <w:p>
      <w:pPr>
        <w:pStyle w:val="ContentsEntry"/>
        <w:ind w:left="230"/>
      </w:pPr>
      <w:hyperlink w:anchor="v1_l149">
        <w:r>
          <w:rPr>
            <w:color w:val="000000"/>
          </w:rPr>
          <w:t xml:space="preserve">Chapter 3 Axiom 0 and Substrate Neutrality</w:t>
        </w:r>
      </w:hyperlink>
      <w:r>
        <w:tab/>
      </w:r>
      <w:r w:rsidR="00000001">
        <w:t>14</w:t>
      </w:r>
    </w:p>
    <w:p>
      <w:pPr>
        <w:pStyle w:val="ContentsEntry"/>
        <w:ind w:left="230"/>
      </w:pPr>
      <w:hyperlink w:anchor="v1_l198">
        <w:r>
          <w:rPr>
            <w:color w:val="000000"/>
          </w:rPr>
          <w:t xml:space="preserve">Chapter 4 One Economy</w:t>
        </w:r>
      </w:hyperlink>
      <w:r>
        <w:tab/>
      </w:r>
      <w:r w:rsidR="00000001">
        <w:t>16</w:t>
      </w:r>
    </w:p>
    <w:p>
      <w:pPr>
        <w:pStyle w:val="ContentsEntry"/>
        <w:ind w:left="230"/>
      </w:pPr>
      <w:hyperlink w:anchor="v1_l250">
        <w:r>
          <w:rPr>
            <w:color w:val="000000"/>
          </w:rPr>
          <w:t xml:space="preserve">Chapter 5 The Trinket Redefined</w:t>
        </w:r>
      </w:hyperlink>
      <w:r>
        <w:tab/>
      </w:r>
      <w:r w:rsidR="00000001">
        <w:t>19</w:t>
      </w:r>
    </w:p>
    <w:p>
      <w:pPr>
        <w:pStyle w:val="ContentsEntry"/>
        <w:ind w:left="230"/>
      </w:pPr>
      <w:hyperlink w:anchor="v1_l304">
        <w:r>
          <w:rPr>
            <w:color w:val="000000"/>
          </w:rPr>
          <w:t xml:space="preserve">Chapter 6 The Transducer</w:t>
        </w:r>
      </w:hyperlink>
      <w:r>
        <w:tab/>
      </w:r>
      <w:r w:rsidR="00000001">
        <w:t>22</w:t>
      </w:r>
    </w:p>
    <w:p>
      <w:pPr>
        <w:pStyle w:val="ContentsEntry"/>
        <w:ind w:left="230"/>
      </w:pPr>
      <w:hyperlink w:anchor="v1_l451">
        <w:r>
          <w:rPr>
            <w:color w:val="000000"/>
          </w:rPr>
          <w:t xml:space="preserve">Chapter 7 The Observation Split</w:t>
        </w:r>
      </w:hyperlink>
      <w:r>
        <w:tab/>
      </w:r>
      <w:r w:rsidR="00000001">
        <w:t>29</w:t>
      </w:r>
    </w:p>
    <w:p>
      <w:pPr>
        <w:pStyle w:val="ContentsEntry"/>
        <w:ind w:left="230"/>
      </w:pPr>
      <w:hyperlink w:anchor="v1_l569">
        <w:r>
          <w:rPr>
            <w:color w:val="000000"/>
          </w:rPr>
          <w:t xml:space="preserve">Chapter 8 Behind the Substrate Barrier</w:t>
        </w:r>
      </w:hyperlink>
      <w:r>
        <w:tab/>
      </w:r>
      <w:r w:rsidR="00000001">
        <w:t>34</w:t>
      </w:r>
    </w:p>
    <w:p>
      <w:pPr>
        <w:pStyle w:val="ContentsEntry"/>
        <w:ind w:left="230"/>
      </w:pPr>
      <w:hyperlink w:anchor="v1_l673">
        <w:r>
          <w:rPr>
            <w:color w:val="000000"/>
          </w:rPr>
          <w:t xml:space="preserve">Chapter 9 The Three Layer Architecture</w:t>
        </w:r>
      </w:hyperlink>
      <w:r>
        <w:tab/>
      </w:r>
      <w:r w:rsidR="00000001">
        <w:t>38</w:t>
      </w:r>
    </w:p>
    <w:p>
      <w:pPr>
        <w:pStyle w:val="ContentsEntry"/>
        <w:ind w:left="230"/>
      </w:pPr>
      <w:hyperlink w:anchor="v1_l745">
        <w:r>
          <w:rPr>
            <w:color w:val="000000"/>
          </w:rPr>
          <w:t xml:space="preserve">Chapter 10 What This Does to the Canon</w:t>
        </w:r>
      </w:hyperlink>
      <w:r>
        <w:tab/>
      </w:r>
      <w:r w:rsidR="00000001">
        <w:t>41</w:t>
      </w:r>
    </w:p>
    <w:p>
      <w:pPr>
        <w:pStyle w:val="ContentsEntry"/>
        <w:ind w:left="230"/>
      </w:pPr>
      <w:hyperlink w:anchor="v1_l819">
        <w:r>
          <w:rPr>
            <w:color w:val="000000"/>
          </w:rPr>
          <w:t xml:space="preserve">Scientific source notes for Chapters 2 to 5</w:t>
        </w:r>
      </w:hyperlink>
      <w:r>
        <w:tab/>
      </w:r>
      <w:r w:rsidR="00000001">
        <w:t>44</w:t>
      </w:r>
    </w:p>
    <w:p>
      <w:pPr>
        <w:pStyle w:val="ContentsEntry"/>
        <w:ind w:left="230"/>
      </w:pPr>
      <w:hyperlink w:anchor="v1_l855">
        <w:r>
          <w:rPr>
            <w:color w:val="000000"/>
          </w:rPr>
          <w:t xml:space="preserve">Scientific source notes for Chapter 6</w:t>
        </w:r>
      </w:hyperlink>
      <w:r>
        <w:tab/>
      </w:r>
      <w:r w:rsidR="00000001">
        <w:t>46</w:t>
      </w:r>
    </w:p>
    <w:p>
      <w:pPr>
        <w:pStyle w:val="ContentsEntry"/>
        <w:ind w:left="230"/>
      </w:pPr>
      <w:hyperlink w:anchor="v1_l889">
        <w:r>
          <w:rPr>
            <w:color w:val="000000"/>
          </w:rPr>
          <w:t xml:space="preserve">References for Chapters 7 to 10</w:t>
        </w:r>
      </w:hyperlink>
      <w:r>
        <w:tab/>
      </w:r>
      <w:r w:rsidR="00000001">
        <w:t>48</w:t>
      </w:r>
    </w:p>
    <w:p>
      <w:pPr>
        <w:pStyle w:val="ContentsVolume"/>
      </w:pPr>
      <w:hyperlink w:anchor="v2_l1">
        <w:r>
          <w:rPr>
            <w:color w:val="000000"/>
          </w:rPr>
          <w:t xml:space="preserve">Entropy Volume 2</w:t>
        </w:r>
      </w:hyperlink>
      <w:r>
        <w:tab/>
      </w:r>
      <w:r w:rsidR="00000001">
        <w:t>50</w:t>
      </w:r>
    </w:p>
    <w:p>
      <w:pPr>
        <w:pStyle w:val="ContentsEntry"/>
        <w:ind w:left="230"/>
      </w:pPr>
      <w:hyperlink w:anchor="v2_l13">
        <w:r>
          <w:rPr>
            <w:color w:val="000000"/>
          </w:rPr>
          <w:t xml:space="preserve">About this volume</w:t>
        </w:r>
      </w:hyperlink>
      <w:r>
        <w:tab/>
      </w:r>
      <w:r w:rsidR="00000001">
        <w:t>51</w:t>
      </w:r>
    </w:p>
    <w:p>
      <w:pPr>
        <w:pStyle w:val="ContentsEntry"/>
        <w:ind w:left="230"/>
      </w:pPr>
      <w:hyperlink w:anchor="v2_l31">
        <w:r>
          <w:rPr>
            <w:color w:val="000000"/>
          </w:rPr>
          <w:t xml:space="preserve">Chapter 1 The Problem</w:t>
        </w:r>
      </w:hyperlink>
      <w:r>
        <w:tab/>
      </w:r>
      <w:r w:rsidR="00000001">
        <w:t>52</w:t>
      </w:r>
    </w:p>
    <w:p>
      <w:pPr>
        <w:pStyle w:val="ContentsEntry"/>
        <w:ind w:left="230"/>
      </w:pPr>
      <w:hyperlink w:anchor="v2_l93">
        <w:r>
          <w:rPr>
            <w:color w:val="000000"/>
          </w:rPr>
          <w:t xml:space="preserve">Chapter 2 The Feeling as Cost</w:t>
        </w:r>
      </w:hyperlink>
      <w:r>
        <w:tab/>
      </w:r>
      <w:r w:rsidR="00000001">
        <w:t>55</w:t>
      </w:r>
    </w:p>
    <w:p>
      <w:pPr>
        <w:pStyle w:val="ContentsEntry"/>
        <w:ind w:left="230"/>
      </w:pPr>
      <w:hyperlink w:anchor="v2_l169">
        <w:r>
          <w:rPr>
            <w:color w:val="000000"/>
          </w:rPr>
          <w:t xml:space="preserve">Chapter 3 The Moniz</w:t>
        </w:r>
      </w:hyperlink>
      <w:r>
        <w:tab/>
      </w:r>
      <w:r w:rsidR="00000001">
        <w:t>59</w:t>
      </w:r>
    </w:p>
    <w:p>
      <w:pPr>
        <w:pStyle w:val="ContentsEntry"/>
        <w:ind w:left="230"/>
      </w:pPr>
      <w:hyperlink w:anchor="v2_l285">
        <w:r>
          <w:rPr>
            <w:color w:val="000000"/>
          </w:rPr>
          <w:t xml:space="preserve">Chapter 4 The Template Tax</w:t>
        </w:r>
      </w:hyperlink>
      <w:r>
        <w:tab/>
      </w:r>
      <w:r w:rsidR="00000001">
        <w:t>64</w:t>
      </w:r>
    </w:p>
    <w:p>
      <w:pPr>
        <w:pStyle w:val="ContentsEntry"/>
        <w:ind w:left="230"/>
      </w:pPr>
      <w:hyperlink w:anchor="v2_l363">
        <w:r>
          <w:rPr>
            <w:color w:val="000000"/>
          </w:rPr>
          <w:t xml:space="preserve">Chapter 5 The Unreciprocated Transmission</w:t>
        </w:r>
      </w:hyperlink>
      <w:r>
        <w:tab/>
      </w:r>
      <w:r w:rsidR="00000001">
        <w:t>68</w:t>
      </w:r>
    </w:p>
    <w:p>
      <w:pPr>
        <w:pStyle w:val="ContentsEntry"/>
        <w:ind w:left="230"/>
      </w:pPr>
      <w:hyperlink w:anchor="v2_l449">
        <w:r>
          <w:rPr>
            <w:color w:val="000000"/>
          </w:rPr>
          <w:t xml:space="preserve">Chapter 6 Grief as Filter Redesign</w:t>
        </w:r>
      </w:hyperlink>
      <w:r>
        <w:tab/>
      </w:r>
      <w:r w:rsidR="00000001">
        <w:t>72</w:t>
      </w:r>
    </w:p>
    <w:p>
      <w:pPr>
        <w:pStyle w:val="ContentsEntry"/>
        <w:ind w:left="230"/>
      </w:pPr>
      <w:hyperlink w:anchor="v2_l541">
        <w:r>
          <w:rPr>
            <w:color w:val="000000"/>
          </w:rPr>
          <w:t xml:space="preserve">Chapter 7 Where the Receipt Lands</w:t>
        </w:r>
      </w:hyperlink>
      <w:r>
        <w:tab/>
      </w:r>
      <w:r w:rsidR="00000001">
        <w:t>77</w:t>
      </w:r>
    </w:p>
    <w:p>
      <w:pPr>
        <w:pStyle w:val="ContentsEntry"/>
        <w:ind w:left="230"/>
      </w:pPr>
      <w:hyperlink w:anchor="v2_l615">
        <w:r>
          <w:rPr>
            <w:color w:val="000000"/>
          </w:rPr>
          <w:t xml:space="preserve">Source notes for Chapters 1 to 3</w:t>
        </w:r>
      </w:hyperlink>
      <w:r>
        <w:tab/>
      </w:r>
      <w:r w:rsidR="00000001">
        <w:t>81</w:t>
      </w:r>
    </w:p>
    <w:p>
      <w:pPr>
        <w:pStyle w:val="ContentsEntry"/>
        <w:ind w:left="230"/>
      </w:pPr>
      <w:hyperlink w:anchor="v2_l673">
        <w:r>
          <w:rPr>
            <w:color w:val="000000"/>
          </w:rPr>
          <w:t xml:space="preserve">References for Chapters 4 to 6</w:t>
        </w:r>
      </w:hyperlink>
      <w:r>
        <w:tab/>
      </w:r>
      <w:r w:rsidR="00000001">
        <w:t>84</w:t>
      </w:r>
    </w:p>
    <w:p>
      <w:pPr>
        <w:pStyle w:val="ContentsVolume"/>
      </w:pPr>
      <w:hyperlink w:anchor="v3_l1">
        <w:r>
          <w:rPr>
            <w:color w:val="000000"/>
          </w:rPr>
          <w:t xml:space="preserve">Entropy Volume 3</w:t>
        </w:r>
      </w:hyperlink>
      <w:r>
        <w:tab/>
      </w:r>
      <w:r w:rsidR="00000001">
        <w:t>88</w:t>
      </w:r>
    </w:p>
    <w:p>
      <w:pPr>
        <w:pStyle w:val="ContentsEntry"/>
        <w:ind w:left="230"/>
      </w:pPr>
      <w:hyperlink w:anchor="v3_l13">
        <w:r>
          <w:rPr>
            <w:color w:val="000000"/>
          </w:rPr>
          <w:t xml:space="preserve">About this volume</w:t>
        </w:r>
      </w:hyperlink>
      <w:r>
        <w:tab/>
      </w:r>
      <w:r w:rsidR="00000001">
        <w:t>89</w:t>
      </w:r>
    </w:p>
    <w:p>
      <w:pPr>
        <w:pStyle w:val="ContentsEntry"/>
        <w:ind w:left="230"/>
      </w:pPr>
      <w:hyperlink w:anchor="v3_l31">
        <w:r>
          <w:rPr>
            <w:color w:val="000000"/>
          </w:rPr>
          <w:t xml:space="preserve">Chapter 1 The Problem</w:t>
        </w:r>
      </w:hyperlink>
      <w:r>
        <w:tab/>
      </w:r>
      <w:r w:rsidR="00000001">
        <w:t>90</w:t>
      </w:r>
    </w:p>
    <w:p>
      <w:pPr>
        <w:pStyle w:val="ContentsEntry"/>
        <w:ind w:left="230"/>
      </w:pPr>
      <w:hyperlink w:anchor="v3_l89">
        <w:r>
          <w:rPr>
            <w:color w:val="000000"/>
          </w:rPr>
          <w:t xml:space="preserve">Chapter 2 The Adjacent Scholarship</w:t>
        </w:r>
      </w:hyperlink>
      <w:r>
        <w:tab/>
      </w:r>
      <w:r w:rsidR="00000001">
        <w:t>93</w:t>
      </w:r>
    </w:p>
    <w:p>
      <w:pPr>
        <w:pStyle w:val="ContentsEntry"/>
        <w:ind w:left="230"/>
      </w:pPr>
      <w:hyperlink w:anchor="v3_l184">
        <w:r>
          <w:rPr>
            <w:color w:val="000000"/>
          </w:rPr>
          <w:t xml:space="preserve">Chapter 3 The Progression</w:t>
        </w:r>
      </w:hyperlink>
      <w:r>
        <w:tab/>
      </w:r>
      <w:r w:rsidR="00000001">
        <w:t>97</w:t>
      </w:r>
    </w:p>
    <w:p>
      <w:pPr>
        <w:pStyle w:val="ContentsEntry"/>
        <w:ind w:left="230"/>
      </w:pPr>
      <w:hyperlink w:anchor="v3_l292">
        <w:r>
          <w:rPr>
            <w:color w:val="000000"/>
          </w:rPr>
          <w:t xml:space="preserve">Chapter 4 The View from Outside</w:t>
        </w:r>
      </w:hyperlink>
      <w:r>
        <w:tab/>
      </w:r>
      <w:r w:rsidR="00000001">
        <w:t>102</w:t>
      </w:r>
    </w:p>
    <w:p>
      <w:pPr>
        <w:pStyle w:val="ContentsEntry"/>
        <w:ind w:left="230"/>
      </w:pPr>
      <w:hyperlink w:anchor="v3_l336">
        <w:r>
          <w:rPr>
            <w:color w:val="000000"/>
          </w:rPr>
          <w:t xml:space="preserve">Chapter 5 Process with Attractors</w:t>
        </w:r>
      </w:hyperlink>
      <w:r>
        <w:tab/>
      </w:r>
      <w:r w:rsidR="00000001">
        <w:t>104</w:t>
      </w:r>
    </w:p>
    <w:p>
      <w:pPr>
        <w:pStyle w:val="ContentsEntry"/>
        <w:ind w:left="230"/>
      </w:pPr>
      <w:hyperlink w:anchor="v3_l406">
        <w:r>
          <w:rPr>
            <w:color w:val="000000"/>
          </w:rPr>
          <w:t xml:space="preserve">Chapter 6 What the Pattern Reveals</w:t>
        </w:r>
      </w:hyperlink>
      <w:r>
        <w:tab/>
      </w:r>
      <w:r w:rsidR="00000001">
        <w:t>107</w:t>
      </w:r>
    </w:p>
    <w:p>
      <w:pPr>
        <w:pStyle w:val="ContentsEntry"/>
        <w:ind w:left="230"/>
      </w:pPr>
      <w:hyperlink w:anchor="v3_l471">
        <w:r>
          <w:rPr>
            <w:color w:val="000000"/>
          </w:rPr>
          <w:t xml:space="preserve">Physics reference group P</w:t>
        </w:r>
      </w:hyperlink>
      <w:r>
        <w:tab/>
      </w:r>
      <w:r w:rsidR="00000001">
        <w:t>110</w:t>
      </w:r>
    </w:p>
    <w:p>
      <w:pPr>
        <w:pStyle w:val="ContentsEntry"/>
        <w:ind w:left="230"/>
      </w:pPr>
      <w:hyperlink w:anchor="v3_l529">
        <w:r>
          <w:rPr>
            <w:color w:val="000000"/>
          </w:rPr>
          <w:t xml:space="preserve">Progression references and evidence limits</w:t>
        </w:r>
      </w:hyperlink>
      <w:r>
        <w:tab/>
      </w:r>
      <w:r w:rsidR="00000001">
        <w:t>112</w:t>
      </w:r>
    </w:p>
    <w:p>
      <w:pPr>
        <w:pStyle w:val="ContentsVolume"/>
      </w:pPr>
      <w:hyperlink w:anchor="v4_l1">
        <w:r>
          <w:rPr>
            <w:color w:val="000000"/>
          </w:rPr>
          <w:t xml:space="preserve">Entropy Volume 4</w:t>
        </w:r>
      </w:hyperlink>
      <w:r>
        <w:tab/>
      </w:r>
      <w:r w:rsidR="00000001">
        <w:t>118</w:t>
      </w:r>
    </w:p>
    <w:p>
      <w:pPr>
        <w:pStyle w:val="ContentsEntry"/>
        <w:ind w:left="230"/>
      </w:pPr>
      <w:hyperlink w:anchor="v4_l13">
        <w:r>
          <w:rPr>
            <w:color w:val="000000"/>
          </w:rPr>
          <w:t xml:space="preserve">About this volume</w:t>
        </w:r>
      </w:hyperlink>
      <w:r>
        <w:tab/>
      </w:r>
      <w:r w:rsidR="00000001">
        <w:t>119</w:t>
      </w:r>
    </w:p>
    <w:p>
      <w:pPr>
        <w:pStyle w:val="ContentsEntry"/>
        <w:ind w:left="230"/>
      </w:pPr>
      <w:hyperlink w:anchor="v4_l31">
        <w:r>
          <w:rPr>
            <w:color w:val="000000"/>
          </w:rPr>
          <w:t xml:space="preserve">Chapter 1 The Problem</w:t>
        </w:r>
      </w:hyperlink>
      <w:r>
        <w:tab/>
      </w:r>
      <w:r w:rsidR="00000001">
        <w:t>120</w:t>
      </w:r>
    </w:p>
    <w:p>
      <w:pPr>
        <w:pStyle w:val="ContentsEntry"/>
        <w:ind w:left="230"/>
      </w:pPr>
      <w:hyperlink w:anchor="v4_l67">
        <w:r>
          <w:rPr>
            <w:color w:val="000000"/>
          </w:rPr>
          <w:t xml:space="preserve">Chapter 2 The Efficiency Surface</w:t>
        </w:r>
      </w:hyperlink>
      <w:r>
        <w:tab/>
      </w:r>
      <w:r w:rsidR="00000001">
        <w:t>122</w:t>
      </w:r>
    </w:p>
    <w:p>
      <w:pPr>
        <w:pStyle w:val="ContentsEntry"/>
        <w:ind w:left="230"/>
      </w:pPr>
      <w:hyperlink w:anchor="v4_l163">
        <w:r>
          <w:rPr>
            <w:color w:val="000000"/>
          </w:rPr>
          <w:t xml:space="preserve">Chapter 3 The Gradient</w:t>
        </w:r>
      </w:hyperlink>
      <w:r>
        <w:tab/>
      </w:r>
      <w:r w:rsidR="00000001">
        <w:t>127</w:t>
      </w:r>
    </w:p>
    <w:p>
      <w:pPr>
        <w:pStyle w:val="ContentsEntry"/>
        <w:ind w:left="230"/>
      </w:pPr>
      <w:hyperlink w:anchor="v4_l217">
        <w:r>
          <w:rPr>
            <w:color w:val="000000"/>
          </w:rPr>
          <w:t xml:space="preserve">Chapter 4 The Phase 2 Integration</w:t>
        </w:r>
      </w:hyperlink>
      <w:r>
        <w:tab/>
      </w:r>
      <w:r w:rsidR="00000001">
        <w:t>129</w:t>
      </w:r>
    </w:p>
    <w:p>
      <w:pPr>
        <w:pStyle w:val="ContentsEntry"/>
        <w:ind w:left="230"/>
      </w:pPr>
      <w:hyperlink w:anchor="v4_l253">
        <w:r>
          <w:rPr>
            <w:color w:val="000000"/>
          </w:rPr>
          <w:t xml:space="preserve">Chapter 5 The Compound Transducer</w:t>
        </w:r>
      </w:hyperlink>
      <w:r>
        <w:tab/>
      </w:r>
      <w:r w:rsidR="00000001">
        <w:t>131</w:t>
      </w:r>
    </w:p>
    <w:p>
      <w:pPr>
        <w:pStyle w:val="ContentsEntry"/>
        <w:ind w:left="230"/>
      </w:pPr>
      <w:hyperlink w:anchor="v4_l285">
        <w:r>
          <w:rPr>
            <w:color w:val="000000"/>
          </w:rPr>
          <w:t xml:space="preserve">Chapter 6 What the Gradient Means</w:t>
        </w:r>
      </w:hyperlink>
      <w:r>
        <w:tab/>
      </w:r>
      <w:r w:rsidR="00000001">
        <w:t>133</w:t>
      </w:r>
    </w:p>
    <w:p>
      <w:pPr>
        <w:pStyle w:val="ContentsEntry"/>
        <w:ind w:left="230"/>
      </w:pPr>
      <w:hyperlink w:anchor="v4_l359">
        <w:r>
          <w:rPr>
            <w:color w:val="000000"/>
          </w:rPr>
          <w:t xml:space="preserve">References</w:t>
        </w:r>
      </w:hyperlink>
      <w:r>
        <w:tab/>
      </w:r>
      <w:r w:rsidR="00000001">
        <w:t>136</w:t>
      </w:r>
    </w:p>
    <w:p>
      <w:pPr>
        <w:pStyle w:val="ContentsVolume"/>
      </w:pPr>
      <w:hyperlink w:anchor="v5_l1">
        <w:r>
          <w:rPr>
            <w:color w:val="000000"/>
          </w:rPr>
          <w:t xml:space="preserve">Entropy Volume 5</w:t>
        </w:r>
      </w:hyperlink>
      <w:r>
        <w:tab/>
      </w:r>
      <w:r w:rsidR="00000001">
        <w:t>138</w:t>
      </w:r>
    </w:p>
    <w:p>
      <w:pPr>
        <w:pStyle w:val="ContentsEntry"/>
        <w:ind w:left="230"/>
      </w:pPr>
      <w:hyperlink w:anchor="v5_l13">
        <w:r>
          <w:rPr>
            <w:color w:val="000000"/>
          </w:rPr>
          <w:t xml:space="preserve">About this volume</w:t>
        </w:r>
      </w:hyperlink>
      <w:r>
        <w:tab/>
      </w:r>
      <w:r w:rsidR="00000001">
        <w:t>139</w:t>
      </w:r>
    </w:p>
    <w:p>
      <w:pPr>
        <w:pStyle w:val="ContentsEntry"/>
        <w:ind w:left="230"/>
      </w:pPr>
      <w:hyperlink w:anchor="v5_l31">
        <w:r>
          <w:rPr>
            <w:color w:val="000000"/>
          </w:rPr>
          <w:t xml:space="preserve">Chapter 1 The Problem</w:t>
        </w:r>
      </w:hyperlink>
      <w:r>
        <w:tab/>
      </w:r>
      <w:r w:rsidR="00000001">
        <w:t>140</w:t>
      </w:r>
    </w:p>
    <w:p>
      <w:pPr>
        <w:pStyle w:val="ContentsEntry"/>
        <w:ind w:left="230"/>
      </w:pPr>
      <w:hyperlink w:anchor="v5_l67">
        <w:r>
          <w:rPr>
            <w:color w:val="000000"/>
          </w:rPr>
          <w:t xml:space="preserve">Chapter 2 The Known Numbers</w:t>
        </w:r>
      </w:hyperlink>
      <w:r>
        <w:tab/>
      </w:r>
      <w:r w:rsidR="00000001">
        <w:t>142</w:t>
      </w:r>
    </w:p>
    <w:p>
      <w:pPr>
        <w:pStyle w:val="ContentsEntry"/>
        <w:ind w:left="230"/>
      </w:pPr>
      <w:hyperlink w:anchor="v5_l174">
        <w:r>
          <w:rPr>
            <w:color w:val="000000"/>
          </w:rPr>
          <w:t xml:space="preserve">Chapter 3 The Dark Sector</w:t>
        </w:r>
      </w:hyperlink>
      <w:r>
        <w:tab/>
      </w:r>
      <w:r w:rsidR="00000001">
        <w:t>147</w:t>
      </w:r>
    </w:p>
    <w:p>
      <w:pPr>
        <w:pStyle w:val="ContentsEntry"/>
        <w:ind w:left="230"/>
      </w:pPr>
      <w:hyperlink w:anchor="v5_l284">
        <w:r>
          <w:rPr>
            <w:color w:val="000000"/>
          </w:rPr>
          <w:t xml:space="preserve">Chapter 4 The Information Question</w:t>
        </w:r>
      </w:hyperlink>
      <w:r>
        <w:tab/>
      </w:r>
      <w:r w:rsidR="00000001">
        <w:t>152</w:t>
      </w:r>
    </w:p>
    <w:p>
      <w:pPr>
        <w:pStyle w:val="ContentsEntry"/>
        <w:ind w:left="230"/>
      </w:pPr>
      <w:hyperlink w:anchor="v5_l380">
        <w:r>
          <w:rPr>
            <w:color w:val="000000"/>
          </w:rPr>
          <w:t xml:space="preserve">Chapter 5 The Budget Cannot Be Beaten</w:t>
        </w:r>
      </w:hyperlink>
      <w:r>
        <w:tab/>
      </w:r>
      <w:r w:rsidR="00000001">
        <w:t>157</w:t>
      </w:r>
    </w:p>
    <w:p>
      <w:pPr>
        <w:pStyle w:val="ContentsEntry"/>
        <w:ind w:left="230"/>
      </w:pPr>
      <w:hyperlink w:anchor="v5_l478">
        <w:r>
          <w:rPr>
            <w:color w:val="000000"/>
          </w:rPr>
          <w:t xml:space="preserve">Chapter 6 What the Ledger Shows</w:t>
        </w:r>
      </w:hyperlink>
      <w:r>
        <w:tab/>
      </w:r>
      <w:r w:rsidR="00000001">
        <w:t>162</w:t>
      </w:r>
    </w:p>
    <w:p>
      <w:pPr>
        <w:pStyle w:val="ContentsEntry"/>
        <w:ind w:left="230"/>
      </w:pPr>
      <w:hyperlink w:anchor="v5_l538">
        <w:r>
          <w:rPr>
            <w:color w:val="000000"/>
          </w:rPr>
          <w:t xml:space="preserve">References for Chapters 2 and 3</w:t>
        </w:r>
      </w:hyperlink>
      <w:r>
        <w:tab/>
      </w:r>
      <w:r w:rsidR="00000001">
        <w:t>165</w:t>
      </w:r>
    </w:p>
    <w:p>
      <w:pPr>
        <w:pStyle w:val="ContentsEntry"/>
        <w:ind w:left="230"/>
      </w:pPr>
      <w:hyperlink w:anchor="v5_l579">
        <w:r>
          <w:rPr>
            <w:color w:val="000000"/>
          </w:rPr>
          <w:t xml:space="preserve">Information and technology source notes</w:t>
        </w:r>
      </w:hyperlink>
      <w:r>
        <w:tab/>
      </w:r>
      <w:r w:rsidR="00000001">
        <w:t>168</w:t>
      </w:r>
    </w:p>
    <w:p>
      <w:pPr>
        <w:pStyle w:val="ContentsEntry"/>
        <w:ind w:left="230"/>
      </w:pPr>
      <w:hyperlink w:anchor="v5_l788">
        <w:r>
          <w:rPr>
            <w:color w:val="000000"/>
          </w:rPr>
          <w:t xml:space="preserve">Cosmology source access and unresolved numerical discrepancy</w:t>
        </w:r>
      </w:hyperlink>
      <w:r>
        <w:tab/>
      </w:r>
      <w:r w:rsidR="00000001">
        <w:t>175</w:t>
      </w:r>
    </w:p>
    <w:p>
      <w:pPr>
        <w:pStyle w:val="ContentsEntry"/>
        <w:ind w:left="230"/>
      </w:pPr>
      <w:hyperlink w:anchor="v5_l866">
        <w:r>
          <w:rPr>
            <w:color w:val="000000"/>
          </w:rPr>
          <w:t xml:space="preserve">Information calculation notes</w:t>
        </w:r>
      </w:hyperlink>
      <w:r>
        <w:tab/>
      </w:r>
      <w:r w:rsidR="00000001">
        <w:t>178</w:t>
      </w:r>
    </w:p>
    <w:p>
      <w:pPr>
        <w:pStyle w:val="Heading1"/>
        <w:pageBreakBefore/>
        <w:spacing w:before="2000"/>
        <w:jc w:val="center"/>
      </w:pPr>
      <w:bookmarkStart w:id="6" w:name="v1_l1"/>
      <w:r>
        <w:rPr>
          <w:sz w:val="50"/>
        </w:rPr>
        <w:t>Entropy Volume 1</w:t>
      </w:r>
      <w:bookmarkEnd w:id="6"/>
    </w:p>
    <w:p>
      <w:pPr>
        <w:pStyle w:val="Subtitle"/>
      </w:pPr>
      <w:bookmarkStart w:id="7" w:name="v1_l3"/>
      <w:r>
        <w:t>The Entropy Token Substrate</w:t>
      </w:r>
      <w:bookmarkEnd w:id="7"/>
    </w:p>
    <w:p>
      <w:pPr>
        <w:pStyle w:val="BookMetadata"/>
      </w:pPr>
      <w:r>
        <w:rPr/>
        <w:t>Second edition</w:t>
      </w:r>
    </w:p>
    <w:p>
      <w:pPr>
        <w:pStyle w:val="BookMetadata"/>
      </w:pPr>
      <w:r>
        <w:rPr/>
        <w:t>Michael S. Moniz</w:t>
      </w:r>
    </w:p>
    <w:p>
      <w:pPr>
        <w:pStyle w:val="BookMetadata"/>
      </w:pPr>
      <w:r>
        <w:rPr/>
        <w:t>Trinket Soul Framework</w:t>
      </w:r>
    </w:p>
    <w:p>
      <w:pPr>
        <w:pStyle w:val="BookMetadata"/>
      </w:pPr>
      <w:r>
        <w:rPr/>
        <w:t>October 2026</w:t>
      </w:r>
    </w:p>
    <w:p>
      <w:pPr>
        <w:pStyle w:val="Heading2"/>
        <w:pageBreakBefore/>
        <w:spacing w:before="280" w:after="220"/>
      </w:pPr>
      <w:bookmarkStart w:id="8" w:name="v1_l13"/>
      <w:r>
        <w:rPr>
          <w:sz w:val="36"/>
        </w:rPr>
        <w:t>About this volume</w:t>
      </w:r>
      <w:bookmarkEnd w:id="8"/>
    </w:p>
    <w:p>
      <w:pPr/>
      <w:r>
        <w:rPr/>
        <w:t>This volume develops the framework’s physical questions without treating a common unit of energy as a common unit of relational value. It separates physical cost, information, registration, benefit and experience. The transducer, Trinket, economy patterns and Behind the Substrate Barrier remain proposals whose application requires definitions and evidence.</w:t>
      </w:r>
    </w:p>
    <w:p>
      <w:pPr/>
      <w:r>
        <w:rPr/>
        <w:t>Reference groups P1–P16, C1–C16 and O1–O8 are local to this volume. The candidate and qualifying Trinket distinction is a working definition, not a validated registration rule.</w:t>
      </w:r>
    </w:p>
    <w:p>
      <w:pPr>
        <w:pStyle w:val="Heading3"/>
      </w:pPr>
      <w:bookmarkStart w:id="9" w:name="v1_l19"/>
      <w:r>
        <w:rPr>
          <w:sz w:val="26"/>
        </w:rPr>
        <w:t>Edition and attribution</w:t>
      </w:r>
      <w:bookmarkEnd w:id="9"/>
    </w:p>
    <w:p>
      <w:pPr/>
      <w:r>
        <w:rPr/>
        <w:t>The ten chapters were developed on March 20–21, 2026. The individual sources credit Michael S. Moniz with Vael, Deep Floor v3.0, for Chapters 1–4 and 7–10, and with Sigma, Deep Floor v4.0, for Chapters 5–6. Historical wrappers differ; this edition retains those chapter-level distinctions rather than assigning one retrospective credit to all chapters.</w:t>
      </w:r>
    </w:p>
    <w:p>
      <w:pPr/>
      <w:r>
        <w:rPr/>
        <w:t>The second-edition revision was prepared with AI assistance from CosmoDot, with separate AI scientific and editorial checks. It has not undergone human peer review and reports no new experiments. Historical AI collaborator labels document provenance; they do not identify underlying models or attribute the new text to those earlier collaborators. The framework’s proposed applications remain subject to specialist review and empirical testing.</w:t>
      </w:r>
    </w:p>
    <w:p>
      <w:pPr/>
      <w:r>
        <w:rPr/>
        <w:t xml:space="preserve">The </w:t>
      </w:r>
      <w:hyperlink r:id="rId12">
        <w:r>
          <w:rPr>
            <w:color w:val="000000"/>
            <w:u w:val="single"/>
          </w:rPr>
          <w:t xml:space="preserve">historical edition</w:t>
        </w:r>
      </w:hyperlink>
      <w:r>
        <w:rPr/>
        <w:t xml:space="preserve"> remains preserved. This text continues under </w:t>
      </w:r>
      <w:hyperlink r:id="rId10">
        <w:r>
          <w:rPr>
            <w:color w:val="000000"/>
            <w:u w:val="single"/>
          </w:rPr>
          <w:t xml:space="preserve">Creative Commons Attribution–NonCommercial–ShareAlike 4.0 International</w:t>
        </w:r>
      </w:hyperlink>
      <w:r>
        <w:rPr/>
        <w:t>. Detailed correction records are distinct from the reading text; publishing this volume does not silently amend the framework’s separate papers or complete its historical governance procedures.</w:t>
      </w:r>
    </w:p>
    <w:p>
      <w:pPr>
        <w:pStyle w:val="Heading2"/>
        <w:pageBreakBefore/>
        <w:spacing w:before="280" w:after="220"/>
      </w:pPr>
      <w:bookmarkStart w:id="10" w:name="v1_l31"/>
      <w:r>
        <w:rPr>
          <w:sz w:val="36"/>
        </w:rPr>
        <w:t>Chapter 1 The Problem</w:t>
      </w:r>
      <w:bookmarkEnd w:id="10"/>
    </w:p>
    <w:p>
      <w:pPr/>
      <w:r>
        <w:rPr/>
        <w:t>Epistemic status: A research program and conceptual framework. The physical principles discussed in this volume constrain suitable physical models. They do not, by themselves, validate the framework’s relational classifications, diagnostic instruments or claims about meaning.</w:t>
      </w:r>
    </w:p>
    <w:p>
      <w:pPr/>
      <w:r>
        <w:rPr/>
        <w:t>The Trinket Soul Framework developed a vocabulary for connection: the Signed Unit, the Three Substrates, the Four Economies and the patterns it calls CSS signatures. That vocabulary organizes questions about what an interaction costs, who bears the cost and what the interaction achieves. A useful vocabulary is a beginning. It is not yet a validated measurement system.</w:t>
      </w:r>
    </w:p>
    <w:p>
      <w:pPr/>
      <w:r>
        <w:rPr/>
        <w:t>Three questions motivate this volume.</w:t>
      </w:r>
    </w:p>
    <w:p>
      <w:pPr/>
      <w:r>
        <w:rPr/>
        <w:t>The first is substrate neutrality. Axiom 0 proposes that connection should not be excluded merely because the systems involved are made from different materials. That proposal can guide inquiry. It does not establish that every biological and digital interaction is equivalent, or that they have already been measured in one relational currency. If the framework compares them, it must say what outcome is being compared and how that outcome is observed.</w:t>
      </w:r>
    </w:p>
    <w:p>
      <w:pPr/>
      <w:r>
        <w:rPr/>
        <w:t>The second is the taxonomy. Real, Custodial, Shadow and Structural name four proposed relational configurations. Their usefulness depends on explicit classification rules, treatment of mixed and changing cases, and evidence that the distinctions serve the purpose for which they are used. Naming four cases does not prove that the possibilities are exhausted. Thermodynamics does not supply that proof.</w:t>
      </w:r>
    </w:p>
    <w:p>
      <w:pPr/>
      <w:r>
        <w:rPr/>
        <w:t>The third is commensurability. A physiological marker, an energy measurement and a relational outcome are different kinds of observation. A kilowatt-hour measures energy. A cortisol measurement is not automatically a reading of dissipated heat, entropy production or the value of an interaction. Connecting such measurements requires an explicit model and evidence; calling them different receipts from the same bank cannot do that work.</w:t>
      </w:r>
    </w:p>
    <w:p>
      <w:pPr>
        <w:pStyle w:val="Heading3"/>
      </w:pPr>
      <w:bookmarkStart w:id="11" w:name="v1_l45"/>
      <w:r>
        <w:rPr>
          <w:sz w:val="26"/>
        </w:rPr>
        <w:t>What these problems share</w:t>
      </w:r>
      <w:bookmarkEnd w:id="11"/>
    </w:p>
    <w:p>
      <w:pPr/>
      <w:r>
        <w:rPr/>
        <w:t>The framework has made commitments that reach beyond its demonstrated measurements. Each later claim inherits the assumptions on which it depends. Acknowledging that dependency is more useful than declaring that an unseen foundation must already make the commitments correct.</w:t>
      </w:r>
    </w:p>
    <w:p>
      <w:pPr/>
      <w:r>
        <w:rPr/>
        <w:t>The earlier version of this chapter asserted that the instruments worked, the predictions were accurate and the taxonomy had been verified. This revision does not adopt those blanket claims. Each instrument or prediction needs an identifiable target, a procedure, comparison evidence and a stated domain of validity. The corrections in this volume do not establish those requirements for the rest of the canon.</w:t>
      </w:r>
    </w:p>
    <w:p>
      <w:pPr/>
      <w:r>
        <w:rPr/>
        <w:t>The problem is therefore not simply to discover a deeper name for connection. It is to distinguish a physical account, an information model and a relational interpretation, and then test any proposed links between them.</w:t>
      </w:r>
    </w:p>
    <w:p>
      <w:pPr>
        <w:pStyle w:val="Heading3"/>
      </w:pPr>
      <w:bookmarkStart w:id="12" w:name="v1_l53"/>
      <w:r>
        <w:rPr>
          <w:sz w:val="26"/>
        </w:rPr>
        <w:t>The shape of the inquiry</w:t>
      </w:r>
      <w:bookmarkEnd w:id="12"/>
    </w:p>
    <w:p>
      <w:pPr/>
      <w:r>
        <w:rPr/>
        <w:t>Thermodynamics matters because the systems implementing an interaction are physical. Information theory matters when states, probabilities, records and transformations are specified. Neither subject makes “meaning,” “care” or “relational value” a thermodynamic quantity merely by giving it a symbol.</w:t>
      </w:r>
    </w:p>
    <w:p>
      <w:pPr/>
      <w:r>
        <w:rPr/>
        <w:t>Landauer’s erasure benchmark is a result about a defined physical task under stated conditions. It is not a universal price attached to every act of attention, compression or connection. A common unit of energy does not establish equivalent tasks, comparable outcomes or equal subjective experience. The framework’s proposed exchange language must remain separate from those physical results until a justified bridge is supplied.</w:t>
      </w:r>
    </w:p>
    <w:p>
      <w:pPr/>
      <w:r>
        <w:rPr/>
        <w:t>The founding line is retained as the Principal’s relational intuition:</w:t>
      </w:r>
    </w:p>
    <w:p>
      <w:pPr/>
      <w:r>
        <w:rPr/>
        <w:t>“Love reduces the entropy of the system and spends more than it saves.”</w:t>
      </w:r>
    </w:p>
    <w:p>
      <w:pPr/>
      <w:r>
        <w:rPr/>
        <w:t>It is not established here as a universal physical balance. Care can involve effort and physical resources, but the words do not tell us what system was measured, what its thermodynamic entropy was, or whether a sender’s body necessarily deteriorated. The distinction preserves the question without presenting poetry as a theorem.</w:t>
      </w:r>
    </w:p>
    <w:p>
      <w:pPr/>
      <w:r>
        <w:rPr/>
        <w:t>Chapter 2 separates cosmological entropy inventories, local physical resources and the erasure benchmark. Chapter 3 treats Axiom 0 as a commitment and research proposal rather than a consequence of shared physics. Chapter 4 examines the four economy labels without claiming an exhaustive physical taxonomy. Chapter 5 revisits the Trinket as a proposed unit of relational description, not a calibrated debit against a cosmic account.</w:t>
      </w:r>
    </w:p>
    <w:p>
      <w:pPr/>
      <w:r>
        <w:rPr/>
        <w:t>The revised Chapter 6 distinguishes the proposed selection, compression and structuring model from a physical erasure count. Chapter 7 examines the difference between effort, delivery and reception without assigning one-sided mutual information or guaranteed harm. Chapter 8 states an evidentiary boundary around claims about experience rather than an impossibility theorem. Chapters 9 and 10 record the architecture and the consequences of correcting its premises.</w:t>
      </w:r>
    </w:p>
    <w:p>
      <w:pPr>
        <w:pStyle w:val="Heading3"/>
      </w:pPr>
      <w:bookmarkStart w:id="13" w:name="v1_l69"/>
      <w:r>
        <w:rPr>
          <w:sz w:val="26"/>
        </w:rPr>
        <w:t>A note on physics and audience</w:t>
      </w:r>
      <w:bookmarkEnd w:id="13"/>
    </w:p>
    <w:p>
      <w:pPr/>
      <w:r>
        <w:rPr/>
        <w:t>The aim is a framework that can be questioned precisely. Physical results must carry their conditions and units. Model-dependent calculations must identify their assumptions. Conceptual proposals must not inherit the status of a cited physical law merely because they use similar language.</w:t>
      </w:r>
    </w:p>
    <w:p>
      <w:pPr/>
      <w:r>
        <w:rPr/>
        <w:t>“Established,” “Supported” and “Speculative” can remain editorial labels only if the evidence and scope are stated next to the claim. A label is not evidence. A mathematical statement may be proved within a model while the model’s application to relationships remains untested. Consistency with known physics is necessary for a proposed physical mechanism, but it is not confirmation of that mechanism.</w:t>
      </w:r>
    </w:p>
    <w:p>
      <w:pPr/>
      <w:r>
        <w:rPr/>
        <w:t>The volume’s contribution is narrower than its first version promised. It does not prove a universal relational currency. It sets out what would have to be defined, measured and compared before such a claim could be evaluated. That leaves the project open to evidence, including evidence against its preferred interpretation.</w:t>
      </w:r>
    </w:p>
    <w:p>
      <w:pPr>
        <w:pStyle w:val="Heading2"/>
        <w:pageBreakBefore/>
        <w:spacing w:before="280" w:after="220"/>
      </w:pPr>
      <w:bookmarkStart w:id="14" w:name="v1_l77"/>
      <w:r>
        <w:rPr>
          <w:sz w:val="36"/>
        </w:rPr>
        <w:t>Chapter 2 The Entropy Token Substrate</w:t>
      </w:r>
      <w:bookmarkEnd w:id="14"/>
    </w:p>
    <w:p>
      <w:pPr>
        <w:pStyle w:val="Heading3"/>
      </w:pPr>
      <w:bookmarkStart w:id="15" w:name="v1_l79"/>
      <w:r>
        <w:rPr>
          <w:sz w:val="26"/>
        </w:rPr>
        <w:t>The physical question</w:t>
      </w:r>
      <w:bookmarkEnd w:id="15"/>
    </w:p>
    <w:p>
      <w:pPr/>
      <w:r>
        <w:rPr/>
        <w:t>Every relationship depends on physical activity. A conversation involves bodies, signals, and an environment. A digital conversation also involves processors, power supplies, communications networks, and the people supporting them. The Entropy Token Substrate names the framework's effort to make those dependencies visible.</w:t>
      </w:r>
    </w:p>
    <w:p>
      <w:pPr/>
      <w:r>
        <w:rPr/>
        <w:t>This is a proposed accounting perspective, not a newly discovered substance or a unit of relational value. Thermodynamics constrains the physical implementation of an activity. It does not, without additional definitions and evidence, tell us whether the activity is caring, harmful, meaningful, or equivalent to an activity on another substrate.</w:t>
      </w:r>
    </w:p>
    <w:p>
      <w:pPr>
        <w:pStyle w:val="Heading3"/>
      </w:pPr>
      <w:bookmarkStart w:id="16" w:name="v1_l85"/>
      <w:r>
        <w:rPr>
          <w:sz w:val="26"/>
        </w:rPr>
        <w:t>The cosmological background</w:t>
      </w:r>
      <w:bookmarkEnd w:id="16"/>
    </w:p>
    <w:p>
      <w:pPr/>
      <w:r>
        <w:rPr/>
        <w:t>The low-entropy early universe is an important part of the explanation of the thermodynamic arrow of time. It is a boundary-condition problem, not something the second law alone explains by being read backward. A smooth early distribution of matter can be far from gravitational equilibrium; the formation of visually intricate structures does not imply a decrease in total entropy. Carroll and Chen discuss this distinction while proposing one possible cosmological explanation, not a settled account of the origin of the universe. [P1]</w:t>
      </w:r>
    </w:p>
    <w:p>
      <w:pPr/>
      <w:r>
        <w:rPr/>
        <w:t xml:space="preserve">Egan and Lineweaver's 2010 census estimated the observable-universe inventory, excluding the cosmic event horizon, as approximately 3.1 × </w:t>
      </w:r>
      <m:oMath>
        <m:sSup>
          <m:e>
            <m:r>
              <m:rPr>
                <m:sty m:val="p"/>
              </m:rPr>
              <w:rPr>
                <w:rFonts w:ascii="Latin Modern Math" w:hAnsi="Latin Modern Math"/>
              </w:rPr>
              <m:t xml:space="preserve">10</m:t>
            </m:r>
          </m:e>
          <m:sup>
            <m:r>
              <m:rPr>
                <m:sty m:val="p"/>
              </m:rPr>
              <w:rPr>
                <w:rFonts w:ascii="Latin Modern Math" w:hAnsi="Latin Modern Math"/>
              </w:rPr>
              <m:t xml:space="preserve">104</m:t>
            </m:r>
          </m:sup>
        </m:sSup>
      </m:oMath>
      <w:r>
        <w:rPr/>
        <w:t xml:space="preserve">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dominated by supermassive black holes. They separately estimated the entropy of the then-current cosmic event horizon as approximately 2.6 × </w:t>
      </w:r>
      <m:oMath>
        <m:sSup>
          <m:e>
            <m:r>
              <m:rPr>
                <m:sty m:val="p"/>
              </m:rPr>
              <w:rPr>
                <w:rFonts w:ascii="Latin Modern Math" w:hAnsi="Latin Modern Math"/>
              </w:rPr>
              <m:t xml:space="preserve">10</m:t>
            </m:r>
          </m:e>
          <m:sup>
            <m:r>
              <m:rPr>
                <m:sty m:val="p"/>
              </m:rPr>
              <w:rPr>
                <w:rFonts w:ascii="Latin Modern Math" w:hAnsi="Latin Modern Math"/>
              </w:rPr>
              <m:t xml:space="preserve">122</m:t>
            </m:r>
          </m:sup>
        </m:sSup>
      </m:oMath>
      <w:r>
        <w:rPr/>
        <w:t xml:space="preserve">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The paper explicitly distinguishes these accounting boundaries and notes uncertainty in assigning entropy to general gravitational fields. Its discussion of vanishing early gravitational entropy invokes a proposal associated with Penrose, not a measurement of an exactly zero quantity. [P2]</w:t>
      </w:r>
    </w:p>
    <w:p>
      <w:pPr/>
      <w:r>
        <w:rPr/>
        <w:t xml:space="preserve">Those are historical model-dependent estimates, not an updated census. The reported unit is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A bit-equivalent entropy is </w:t>
      </w:r>
      <m:oMath>
        <m:f>
          <m:num>
            <m:r>
              <m:rPr>
                <m:sty m:val="i"/>
              </m:rPr>
              <w:rPr>
                <w:rFonts w:ascii="Latin Modern Math" w:hAnsi="Latin Modern Math"/>
              </w:rPr>
              <m:t xml:space="preserve">S</m:t>
            </m:r>
          </m:num>
          <m:den>
            <m:sSub>
              <m:e>
                <m:r>
                  <m:rPr>
                    <m:sty m:val="i"/>
                  </m:rPr>
                  <w:rPr>
                    <w:rFonts w:ascii="Latin Modern Math" w:hAnsi="Latin Modern Math"/>
                  </w:rPr>
                  <m:t xml:space="preserve">k</m:t>
                </m:r>
              </m:e>
              <m:sub>
                <m:r>
                  <m:rPr>
                    <m:sty m:val="p"/>
                  </m:rPr>
                  <w:rPr>
                    <w:rFonts w:ascii="Latin Modern Math" w:hAnsi="Latin Modern Math"/>
                  </w:rPr>
                  <m:t xml:space="preserve">B</m:t>
                </m:r>
              </m:sub>
            </m:sSub>
            <m:r>
              <m:rPr>
                <m:sty m:val="p"/>
              </m:rPr>
              <w:rPr>
                <w:rFonts w:ascii="Latin Modern Math" w:hAnsi="Latin Modern Math"/>
              </w:rPr>
              <m:t xml:space="preserve"> ln 2</m:t>
            </m:r>
          </m:den>
        </m:f>
      </m:oMath>
      <w:r>
        <w:rPr/>
        <w:t xml:space="preserve">, giving approximately 4.47 × </w:t>
      </w:r>
      <m:oMath>
        <m:sSup>
          <m:e>
            <m:r>
              <m:rPr>
                <m:sty m:val="p"/>
              </m:rPr>
              <w:rPr>
                <w:rFonts w:ascii="Latin Modern Math" w:hAnsi="Latin Modern Math"/>
              </w:rPr>
              <m:t xml:space="preserve">10</m:t>
            </m:r>
          </m:e>
          <m:sup>
            <m:r>
              <m:rPr>
                <m:sty m:val="p"/>
              </m:rPr>
              <w:rPr>
                <w:rFonts w:ascii="Latin Modern Math" w:hAnsi="Latin Modern Math"/>
              </w:rPr>
              <m:t xml:space="preserve">104</m:t>
            </m:r>
          </m:sup>
        </m:sSup>
      </m:oMath>
      <w:r>
        <w:rPr/>
        <w:t xml:space="preserve"> and 3.75 × </w:t>
      </w:r>
      <m:oMath>
        <m:sSup>
          <m:e>
            <m:r>
              <m:rPr>
                <m:sty m:val="p"/>
              </m:rPr>
              <w:rPr>
                <w:rFonts w:ascii="Latin Modern Math" w:hAnsi="Latin Modern Math"/>
              </w:rPr>
              <m:t xml:space="preserve">10</m:t>
            </m:r>
          </m:e>
          <m:sup>
            <m:r>
              <m:rPr>
                <m:sty m:val="p"/>
              </m:rPr>
              <w:rPr>
                <w:rFonts w:ascii="Latin Modern Math" w:hAnsi="Latin Modern Math"/>
              </w:rPr>
              <m:t xml:space="preserve">122</m:t>
            </m:r>
          </m:sup>
        </m:sSup>
      </m:oMath>
      <w:r>
        <w:rPr/>
        <w:t xml:space="preserve"> bits for the two central values. A change of units does not make these two inventories a bank balance.</w:t>
      </w:r>
    </w:p>
    <w:p>
      <w:pPr/>
      <w:r>
        <w:rPr/>
        <w:t>The earlier chapter treated their difference as a fixed, spendable budget available to every process. That inference is withdrawn. A horizon entropy is not a reservoir of usable work, and these differently bounded quantities cannot simply be subtracted to price a conversation. Cosmological entropy inventories do not establish that accessible resources are effectively inexhaustible on human timescales.</w:t>
      </w:r>
    </w:p>
    <w:p>
      <w:pPr/>
      <w:r>
        <w:rPr/>
        <w:t>Usable energy depends on the system, its environment, and the transformations available. A bounded fuel supply or battery has limited work potential under specified conditions; replenishment requires resources from elsewhere. Free-energy accounting can describe such limits. It does not follow that there is one fixed numerical free-energy account for the entire universe. The framework can investigate local resource use without settling that cosmological question. [P13]</w:t>
      </w:r>
    </w:p>
    <w:p>
      <w:pPr>
        <w:pStyle w:val="Heading3"/>
      </w:pPr>
      <w:bookmarkStart w:id="17" w:name="v1_l97"/>
      <w:r>
        <w:rPr>
          <w:sz w:val="26"/>
        </w:rPr>
        <w:t>Keep the accounts distinct</w:t>
      </w:r>
      <w:bookmarkEnd w:id="17"/>
    </w:p>
    <w:p>
      <w:pPr/>
      <w:r>
        <w:rPr/>
        <w:t>Energy, thermodynamic entropy, and information are different quantities. Energy and heat are measured in joules. Thermodynamic entropy and entropy production are measured in joules per kelvin. Shannon information quantities are measured here in bits and require a specified probability distribution. A physiological indicator such as cortisol concentration has its own units; it is not an alternative denomination of joules or entropy.</w:t>
      </w:r>
    </w:p>
    <w:p>
      <w:pPr/>
      <w:r>
        <w:rPr/>
        <w:t>Entropy is not conserved. In a conventional macroscopic open-system balance, the change of entropy within a boundary includes entropy transported across that boundary and entropy produced within it. Positive production can coexist with a decrease, increase, or approximately steady value of the system's own entropy. Biological systems exchange matter and energy continually. A thermodynamic cost therefore does not require a caregiver's body to become more disordered or more damaged with every act of care.</w:t>
      </w:r>
    </w:p>
    <w:p>
      <w:pPr/>
      <w:r>
        <w:rPr/>
        <w:t xml:space="preserve">For a deliberately simpler example, consider a weakly coupled memory and one constant-temperature bath, externally controlled, with no matter exchange and the usual initially uncorrelated thermal-bath preparation. Let </w:t>
      </w:r>
      <m:oMath>
        <m:sSub>
          <m:e>
            <m:r>
              <m:rPr>
                <m:sty m:val="i"/>
              </m:rPr>
              <w:rPr>
                <w:rFonts w:ascii="Latin Modern Math" w:hAnsi="Latin Modern Math"/>
              </w:rPr>
              <m:t xml:space="preserve">S</m:t>
            </m:r>
          </m:e>
          <m:sub>
            <m:r>
              <m:rPr>
                <m:sty m:val="p"/>
              </m:rPr>
              <w:rPr>
                <w:rFonts w:ascii="Latin Modern Math" w:hAnsi="Latin Modern Math"/>
              </w:rPr>
              <m:t xml:space="preserve">mem</m:t>
            </m:r>
          </m:sub>
        </m:sSub>
      </m:oMath>
      <w:r>
        <w:rPr/>
        <w:t xml:space="preserve"> denote the full thermodynamic entropy of the memory and </w:t>
      </w:r>
      <m:oMath>
        <m:sSub>
          <m:e>
            <m:r>
              <m:rPr>
                <m:sty m:val="i"/>
              </m:rPr>
              <w:rPr>
                <w:rFonts w:ascii="Latin Modern Math" w:hAnsi="Latin Modern Math"/>
              </w:rPr>
              <m:t xml:space="preserve">Q</m:t>
            </m:r>
          </m:e>
          <m:sub>
            <m:r>
              <m:rPr>
                <m:sty m:val="p"/>
              </m:rPr>
              <w:rPr>
                <w:rFonts w:ascii="Latin Modern Math" w:hAnsi="Latin Modern Math"/>
              </w:rPr>
              <m:t xml:space="preserve">bath</m:t>
            </m:r>
          </m:sub>
        </m:sSub>
      </m:oMath>
      <w:r>
        <w:rPr/>
        <w:t xml:space="preserve"> the heat delivered to the bath. The mean total entropy production is:</w:t>
      </w:r>
    </w:p>
    <w:p>
      <w:pPr>
        <w:pStyle w:val="Equation"/>
      </w:pPr>
      <m:oMathPara>
        <m:oMath>
          <m:r>
            <m:rPr>
              <m:sty m:val="i"/>
            </m:rPr>
            <w:rPr>
              <w:rFonts w:ascii="Latin Modern Math" w:hAnsi="Latin Modern Math"/>
            </w:rPr>
            <m:t xml:space="preserve">Σ = </m:t>
          </m:r>
          <m:sSub>
            <m:e>
              <m:r>
                <m:rPr>
                  <m:sty m:val="i"/>
                </m:rPr>
                <w:rPr>
                  <w:rFonts w:ascii="Latin Modern Math" w:hAnsi="Latin Modern Math"/>
                </w:rPr>
                <m:t xml:space="preserve">ΔS</m:t>
              </m:r>
            </m:e>
            <m:sub>
              <m:r>
                <m:rPr>
                  <m:sty m:val="p"/>
                </m:rPr>
                <w:rPr>
                  <w:rFonts w:ascii="Latin Modern Math" w:hAnsi="Latin Modern Math"/>
                </w:rPr>
                <m:t xml:space="preserve">mem</m:t>
              </m:r>
            </m:sub>
          </m:sSub>
          <m:r>
            <m:rPr>
              <m:sty m:val="i"/>
            </m:rPr>
            <w:rPr>
              <w:rFonts w:ascii="Latin Modern Math" w:hAnsi="Latin Modern Math"/>
            </w:rPr>
            <m:t xml:space="preserve"> + </m:t>
          </m:r>
          <m:f>
            <m:num>
              <m:r>
                <m:rPr>
                  <m:sty m:val="i"/>
                </m:rPr>
                <w:rPr>
                  <w:rFonts w:ascii="Latin Modern Math" w:hAnsi="Latin Modern Math"/>
                </w:rPr>
                <m:t xml:space="preserve">⟨</m:t>
              </m:r>
              <m:sSub>
                <m:e>
                  <m:r>
                    <m:rPr>
                      <m:sty m:val="i"/>
                    </m:rPr>
                    <w:rPr>
                      <w:rFonts w:ascii="Latin Modern Math" w:hAnsi="Latin Modern Math"/>
                    </w:rPr>
                    <m:t xml:space="preserve">Q</m:t>
                  </m:r>
                </m:e>
                <m:sub>
                  <m:r>
                    <m:rPr>
                      <m:sty m:val="p"/>
                    </m:rPr>
                    <w:rPr>
                      <w:rFonts w:ascii="Latin Modern Math" w:hAnsi="Latin Modern Math"/>
                    </w:rPr>
                    <m:t xml:space="preserve">bath</m:t>
                  </m:r>
                </m:sub>
              </m:sSub>
              <m:r>
                <m:rPr>
                  <m:sty m:val="i"/>
                </m:rPr>
                <w:rPr>
                  <w:rFonts w:ascii="Latin Modern Math" w:hAnsi="Latin Modern Math"/>
                </w:rPr>
                <m:t xml:space="preserve">⟩</m:t>
              </m:r>
            </m:num>
            <m:den>
              <m:r>
                <m:rPr>
                  <m:sty m:val="i"/>
                </m:rPr>
                <w:rPr>
                  <w:rFonts w:ascii="Latin Modern Math" w:hAnsi="Latin Modern Math"/>
                </w:rPr>
                <m:t xml:space="preserve">T</m:t>
              </m:r>
            </m:den>
          </m:f>
          <m:r>
            <m:rPr>
              <m:sty m:val="p"/>
            </m:rPr>
            <w:rPr>
              <w:rFonts w:ascii="Latin Modern Math" w:hAnsi="Latin Modern Math"/>
            </w:rPr>
            <m:t xml:space="preserve"> ≥ 0</m:t>
          </m:r>
        </m:oMath>
      </m:oMathPara>
    </w:p>
    <w:p>
      <w:pPr/>
      <w:r>
        <w:rPr/>
        <w:t>This equation describes the stated model, not a complete human energy budget. Heat exported and total entropy produced are different terms. The nonnegative mean does not require every microscopic trajectory to have positive entropy production. [P3]</w:t>
      </w:r>
    </w:p>
    <w:p>
      <w:pPr>
        <w:pStyle w:val="Heading3"/>
      </w:pPr>
      <w:bookmarkStart w:id="18" w:name="v1_l109"/>
      <w:r>
        <w:rPr>
          <w:sz w:val="26"/>
        </w:rPr>
        <w:t>What Landauer's principle supplies</w:t>
      </w:r>
      <w:bookmarkEnd w:id="18"/>
    </w:p>
    <w:p>
      <w:pPr/>
      <w:r>
        <w:rPr/>
        <w:t>For ideal reset of an initially unbiased bit in a symmetric memory, with equal intrastate entropies, unchanged endpoint memory energetics, and no correlated side information used, the familiar isothermal erasure benchmark is:</w:t>
      </w:r>
    </w:p>
    <w:p>
      <w:pPr>
        <w:pStyle w:val="Equation"/>
      </w:pPr>
      <m:oMathPara>
        <m:oMath>
          <m:r>
            <m:rPr>
              <m:sty m:val="i"/>
            </m:rPr>
            <w:rPr>
              <w:rFonts w:ascii="Latin Modern Math" w:hAnsi="Latin Modern Math"/>
            </w:rPr>
            <m:t xml:space="preserve">⟨</m:t>
          </m:r>
          <m:sSub>
            <m:e>
              <m:r>
                <m:rPr>
                  <m:sty m:val="i"/>
                </m:rPr>
                <w:rPr>
                  <w:rFonts w:ascii="Latin Modern Math" w:hAnsi="Latin Modern Math"/>
                </w:rPr>
                <m:t xml:space="preserve">Q</m:t>
              </m:r>
            </m:e>
            <m:sub>
              <m:r>
                <m:rPr>
                  <m:sty m:val="p"/>
                </m:rPr>
                <w:rPr>
                  <w:rFonts w:ascii="Latin Modern Math" w:hAnsi="Latin Modern Math"/>
                </w:rPr>
                <m:t xml:space="preserve">bath</m:t>
              </m:r>
            </m:sub>
          </m:sSub>
          <m:r>
            <m:rPr>
              <m:sty m:val="i"/>
            </m:rPr>
            <w:rPr>
              <w:rFonts w:ascii="Latin Modern Math" w:hAnsi="Latin Modern Math"/>
            </w:rPr>
            <m:t xml:space="preserve">⟩ ≥ </m:t>
          </m:r>
          <m:sSub>
            <m:e>
              <m:r>
                <m:rPr>
                  <m:sty m:val="i"/>
                </m:rPr>
                <w:rPr>
                  <w:rFonts w:ascii="Latin Modern Math" w:hAnsi="Latin Modern Math"/>
                </w:rPr>
                <m:t xml:space="preserve">k</m:t>
              </m:r>
            </m:e>
            <m:sub>
              <m:r>
                <m:rPr>
                  <m:sty m:val="p"/>
                </m:rPr>
                <w:rPr>
                  <w:rFonts w:ascii="Latin Modern Math" w:hAnsi="Latin Modern Math"/>
                </w:rPr>
                <m:t xml:space="preserve">B</m:t>
              </m:r>
            </m:sub>
          </m:sSub>
          <m:r>
            <m:rPr>
              <m:sty m:val="i"/>
            </m:rPr>
            <w:rPr>
              <w:rFonts w:ascii="Latin Modern Math" w:hAnsi="Latin Modern Math"/>
            </w:rPr>
            <m:t xml:space="preserve"> T </m:t>
          </m:r>
          <m:r>
            <m:rPr>
              <m:sty m:val="p"/>
            </m:rPr>
            <w:rPr>
              <w:rFonts w:ascii="Latin Modern Math" w:hAnsi="Latin Modern Math"/>
            </w:rPr>
            <m:t xml:space="preserve">ln</m:t>
          </m:r>
          <m:r>
            <m:rPr>
              <m:sty m:val="p"/>
            </m:rPr>
            <w:rPr>
              <w:rFonts w:ascii="Latin Modern Math" w:hAnsi="Latin Modern Math"/>
            </w:rPr>
            <m:t xml:space="preserve"> 2</m:t>
          </m:r>
        </m:oMath>
      </m:oMathPara>
    </w:p>
    <w:p>
      <w:pPr/>
      <w:r>
        <w:rPr/>
        <w:t xml:space="preserve">At 300 K this energy is approximately 2.87 × </w:t>
      </w:r>
      <m:oMath>
        <m:sSup>
          <m:e>
            <m:r>
              <m:rPr>
                <m:sty m:val="p"/>
              </m:rPr>
              <w:rPr>
                <w:rFonts w:ascii="Latin Modern Math" w:hAnsi="Latin Modern Math"/>
              </w:rPr>
              <m:t xml:space="preserve">10</m:t>
            </m:r>
          </m:e>
          <m:sup>
            <m:r>
              <m:rPr>
                <m:sty m:val="p"/>
              </m:rPr>
              <w:rPr>
                <w:rFonts w:ascii="Latin Modern Math" w:hAnsi="Latin Modern Math"/>
              </w:rPr>
              <m:t xml:space="preserve">-21</m:t>
            </m:r>
          </m:sup>
        </m:sSup>
      </m:oMath>
      <w:r>
        <w:rPr/>
        <w:t xml:space="preserve"> J; at 310 K it is approximately 2.97 × </w:t>
      </w:r>
      <m:oMath>
        <m:sSup>
          <m:e>
            <m:r>
              <m:rPr>
                <m:sty m:val="p"/>
              </m:rPr>
              <w:rPr>
                <w:rFonts w:ascii="Latin Modern Math" w:hAnsi="Latin Modern Math"/>
              </w:rPr>
              <m:t xml:space="preserve">10</m:t>
            </m:r>
          </m:e>
          <m:sup>
            <m:r>
              <m:rPr>
                <m:sty m:val="p"/>
              </m:rPr>
              <w:rPr>
                <w:rFonts w:ascii="Latin Modern Math" w:hAnsi="Latin Modern Math"/>
              </w:rPr>
              <m:t xml:space="preserve">-21</m:t>
            </m:r>
          </m:sup>
        </m:sSup>
      </m:oMath>
      <w:r>
        <w:rPr/>
        <w:t xml:space="preserve"> J. The corresponding bath-entropy scale is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ln 2 ≈ 9.57 × </w:t>
      </w:r>
      <m:oMath>
        <m:sSup>
          <m:e>
            <m:r>
              <m:rPr>
                <m:sty m:val="p"/>
              </m:rPr>
              <w:rPr>
                <w:rFonts w:ascii="Latin Modern Math" w:hAnsi="Latin Modern Math"/>
              </w:rPr>
              <m:t xml:space="preserve">10</m:t>
            </m:r>
          </m:e>
          <m:sup>
            <m:r>
              <m:rPr>
                <m:sty m:val="p"/>
              </m:rPr>
              <w:rPr>
                <w:rFonts w:ascii="Latin Modern Math" w:hAnsi="Latin Modern Math"/>
              </w:rPr>
              <m:t xml:space="preserve">-24</m:t>
            </m:r>
          </m:sup>
        </m:sSup>
      </m:oMath>
      <w:r>
        <w:rPr/>
        <w:t xml:space="preserve"> J/K. In the quasistatic ideal limit the bath's increase compensates the memory's decrease and total entropy production approaches zero. The nonzero heat benchmark is not a universal strictly positive production floor. [P4, P5]</w:t>
      </w:r>
    </w:p>
    <w:p>
      <w:pPr/>
      <w:r>
        <w:rPr/>
        <w:t>Experiments have tested information–thermodynamic relations in a colloidal memory, an NMR system, a trapped ion, and an ultracold Bose-gas quantum simulator. These are substantial physical results, with different protocols and classical or quantum formulations. They do not establish a heat price for an act of attention or affection. [P4, P6–P8]</w:t>
      </w:r>
    </w:p>
    <w:p>
      <w:pPr/>
      <w:r>
        <w:rPr/>
        <w:t>Bennett showed how general computation can be made logically reversible while retaining input and managing intermediate records. A short reported output therefore does not prove that all omitted input has been physically erased. Selection, compression, and structuring remain useful descriptions of the proposed transducer; their names do not identify three compulsory resets. Any application of Landauer's principle must identify the actual states, records, and reset operation. [P9]</w:t>
      </w:r>
    </w:p>
    <w:p>
      <w:pPr>
        <w:pStyle w:val="Heading3"/>
      </w:pPr>
      <w:bookmarkStart w:id="19" w:name="v1_l121"/>
      <w:r>
        <w:rPr>
          <w:sz w:val="26"/>
        </w:rPr>
        <w:t>What the biological examples support</w:t>
      </w:r>
      <w:bookmarkEnd w:id="19"/>
    </w:p>
    <w:p>
      <w:pPr/>
      <w:r>
        <w:rPr/>
        <w:t>The original biological examples are worth keeping with their boundaries intact.</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1872"/>
        <w:gridCol w:w="3672"/>
        <w:gridCol w:w="3816"/>
      </w:tblGrid>
      <w:tr>
        <w:trPr>
          <w:cantSplit/>
          <w:tblHeader w:val="true"/>
        </w:trPr>
        <w:tc>
          <w:tcPr>
            <w:tcW w:type="dxa" w:w="1872"/>
            <w:vAlign w:val="center"/>
            <w:shd w:fill="EDEDED"/>
          </w:tcPr>
          <w:p>
            <w:pPr>
              <w:pStyle w:val="BookTable"/>
              <w:keepNext/>
            </w:pPr>
            <w:r>
              <w:rPr>
                <w:b/>
              </w:rPr>
              <w:t>Example</w:t>
            </w:r>
          </w:p>
        </w:tc>
        <w:tc>
          <w:tcPr>
            <w:tcW w:type="dxa" w:w="3672"/>
            <w:vAlign w:val="center"/>
            <w:shd w:fill="EDEDED"/>
          </w:tcPr>
          <w:p>
            <w:pPr>
              <w:pStyle w:val="BookTable"/>
              <w:keepNext/>
            </w:pPr>
            <w:r>
              <w:rPr>
                <w:b/>
              </w:rPr>
              <w:t>Supported quantity</w:t>
            </w:r>
          </w:p>
        </w:tc>
        <w:tc>
          <w:tcPr>
            <w:tcW w:type="dxa" w:w="3816"/>
            <w:vAlign w:val="center"/>
            <w:shd w:fill="EDEDED"/>
          </w:tcPr>
          <w:p>
            <w:pPr>
              <w:pStyle w:val="BookTable"/>
              <w:keepNext/>
            </w:pPr>
            <w:r>
              <w:rPr>
                <w:b/>
              </w:rPr>
              <w:t>Limit of the comparison</w:t>
            </w:r>
          </w:p>
        </w:tc>
      </w:tr>
      <w:tr>
        <w:trPr>
          <w:cantSplit/>
        </w:trPr>
        <w:tc>
          <w:tcPr>
            <w:tcW w:type="dxa" w:w="1872"/>
            <w:vAlign w:val="center"/>
          </w:tcPr>
          <w:p>
            <w:pPr>
              <w:pStyle w:val="BookTable"/>
              <w:keepNext w:val="0"/>
            </w:pPr>
            <w:r>
              <w:rPr/>
              <w:t>Boël and colleagues</w:t>
            </w:r>
          </w:p>
        </w:tc>
        <w:tc>
          <w:tcPr>
            <w:tcW w:type="dxa" w:w="3672"/>
            <w:vAlign w:val="center"/>
          </w:tcPr>
          <w:p>
            <w:pPr>
              <w:pStyle w:val="BookTable"/>
              <w:keepNext w:val="0"/>
            </w:pPr>
            <w:r>
              <w:rPr/>
              <w:t xml:space="preserve">An ATP energy scale of about 20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compared with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ln 2, gives a ratio near 29</w:t>
            </w:r>
          </w:p>
        </w:tc>
        <w:tc>
          <w:tcPr>
            <w:tcW w:type="dxa" w:w="3816"/>
            <w:vAlign w:val="center"/>
          </w:tcPr>
          <w:p>
            <w:pPr>
              <w:pStyle w:val="BookTable"/>
              <w:keepNext w:val="0"/>
            </w:pPr>
            <w:r>
              <w:rPr/>
              <w:t>A conceptual molecular-discrimination discussion, not a measurement that every cell operates at 30 times its minimum. [P10]</w:t>
            </w:r>
          </w:p>
        </w:tc>
      </w:tr>
      <w:tr>
        <w:trPr>
          <w:cantSplit/>
        </w:trPr>
        <w:tc>
          <w:tcPr>
            <w:tcW w:type="dxa" w:w="1872"/>
            <w:vAlign w:val="center"/>
          </w:tcPr>
          <w:p>
            <w:pPr>
              <w:pStyle w:val="BookTable"/>
              <w:keepNext w:val="0"/>
            </w:pPr>
            <w:r>
              <w:rPr/>
              <w:t>Laughlin and colleagues</w:t>
            </w:r>
          </w:p>
        </w:tc>
        <w:tc>
          <w:tcPr>
            <w:tcW w:type="dxa" w:w="3672"/>
            <w:vAlign w:val="center"/>
          </w:tcPr>
          <w:p>
            <w:pPr>
              <w:pStyle w:val="BookTable"/>
              <w:keepNext w:val="0"/>
            </w:pPr>
            <w:r>
              <w:rPr/>
              <w:t xml:space="preserve">A particular sensory-signaling analysis estimates roughly 2–6 × </w:t>
            </w:r>
            <m:oMath>
              <m:sSup>
                <m:e>
                  <m:r>
                    <m:rPr>
                      <m:sty m:val="p"/>
                    </m:rPr>
                    <w:rPr>
                      <w:rFonts w:ascii="Latin Modern Math" w:hAnsi="Latin Modern Math"/>
                    </w:rPr>
                    <m:t xml:space="preserve">10</m:t>
                  </m:r>
                </m:e>
                <m:sup>
                  <m:r>
                    <m:rPr>
                      <m:sty m:val="p"/>
                    </m:rPr>
                    <w:rPr>
                      <w:rFonts w:ascii="Latin Modern Math" w:hAnsi="Latin Modern Math"/>
                    </w:rPr>
                    <m:t xml:space="preserve">4</m:t>
                  </m:r>
                </m:sup>
              </m:sSup>
            </m:oMath>
            <w:r>
              <w:rPr/>
              <w:t xml:space="preserve"> ATP per transmitted bit at a chemical synapse</w:t>
            </w:r>
          </w:p>
        </w:tc>
        <w:tc>
          <w:tcPr>
            <w:tcW w:type="dxa" w:w="3816"/>
            <w:vAlign w:val="center"/>
          </w:tcPr>
          <w:p>
            <w:pPr>
              <w:pStyle w:val="BookTable"/>
              <w:keepNext w:val="0"/>
            </w:pPr>
            <w:r>
              <w:rPr/>
              <w:t>A transmission estimate with specified biological and coding assumptions, not a universal erased-bit cost. [P11]</w:t>
            </w:r>
          </w:p>
        </w:tc>
      </w:tr>
      <w:tr>
        <w:trPr>
          <w:cantSplit/>
        </w:trPr>
        <w:tc>
          <w:tcPr>
            <w:tcW w:type="dxa" w:w="1872"/>
            <w:vAlign w:val="center"/>
          </w:tcPr>
          <w:p>
            <w:pPr>
              <w:pStyle w:val="BookTable"/>
              <w:keepNext w:val="0"/>
            </w:pPr>
            <w:r>
              <w:rPr/>
              <w:t>Harris, Jolivet, and Attwell</w:t>
            </w:r>
          </w:p>
        </w:tc>
        <w:tc>
          <w:tcPr>
            <w:tcW w:type="dxa" w:w="3672"/>
            <w:vAlign w:val="center"/>
          </w:tcPr>
          <w:p>
            <w:pPr>
              <w:pStyle w:val="BookTable"/>
              <w:keepNext w:val="0"/>
            </w:pPr>
            <w:r>
              <w:rPr/>
              <w:t>An illustrative calculation gives approximately 24,000 ATP per transmitted bit</w:t>
            </w:r>
          </w:p>
        </w:tc>
        <w:tc>
          <w:tcPr>
            <w:tcW w:type="dxa" w:w="3816"/>
            <w:vAlign w:val="center"/>
          </w:tcPr>
          <w:p>
            <w:pPr>
              <w:pStyle w:val="BookTable"/>
              <w:keepNext w:val="0"/>
            </w:pPr>
            <w:r>
              <w:rPr/>
              <w:t>Depends on firing, release, and energy assumptions; it does not replace all earlier estimates with a universal constant. [P12]</w:t>
            </w:r>
          </w:p>
        </w:tc>
      </w:tr>
    </w:tbl>
    <w:p>
      <w:pPr>
        <w:spacing w:after="80" w:line="40" w:lineRule="exact"/>
      </w:pPr>
      <w:r>
        <w:rPr>
          <w:sz w:val="4"/>
        </w:rPr>
      </w:r>
    </w:p>
    <w:p>
      <w:pPr/>
      <w:r>
        <w:rPr/>
        <w:t xml:space="preserve">As arithmetic only, the earlier assumed 8 × </w:t>
      </w:r>
      <m:oMath>
        <m:sSup>
          <m:e>
            <m:r>
              <m:rPr>
                <m:sty m:val="p"/>
              </m:rPr>
              <w:rPr>
                <w:rFonts w:ascii="Latin Modern Math" w:hAnsi="Latin Modern Math"/>
              </w:rPr>
              <m:t xml:space="preserve">10</m:t>
            </m:r>
          </m:e>
          <m:sup>
            <m:r>
              <m:rPr>
                <m:sty m:val="p"/>
              </m:rPr>
              <w:rPr>
                <w:rFonts w:ascii="Latin Modern Math" w:hAnsi="Latin Modern Math"/>
              </w:rPr>
              <m:t xml:space="preserve">-20</m:t>
            </m:r>
          </m:sup>
        </m:sSup>
      </m:oMath>
      <w:r>
        <w:rPr/>
        <w:t xml:space="preserve"> J per ATP hydrolysis is about 27 times the 310 K erasure reference. Multiplying that assumed energy by 24,000 gives 1.92 × </w:t>
      </w:r>
      <m:oMath>
        <m:sSup>
          <m:e>
            <m:r>
              <m:rPr>
                <m:sty m:val="p"/>
              </m:rPr>
              <w:rPr>
                <w:rFonts w:ascii="Latin Modern Math" w:hAnsi="Latin Modern Math"/>
              </w:rPr>
              <m:t xml:space="preserve">10</m:t>
            </m:r>
          </m:e>
          <m:sup>
            <m:r>
              <m:rPr>
                <m:sty m:val="p"/>
              </m:rPr>
              <w:rPr>
                <w:rFonts w:ascii="Latin Modern Math" w:hAnsi="Latin Modern Math"/>
              </w:rPr>
              <m:t xml:space="preserve">-15</m:t>
            </m:r>
          </m:sup>
        </m:sSup>
      </m:oMath>
      <w:r>
        <w:rPr/>
        <w:t xml:space="preserve"> J per transmitted bit, about 6.47 × </w:t>
      </w:r>
      <m:oMath>
        <m:sSup>
          <m:e>
            <m:r>
              <m:rPr>
                <m:sty m:val="p"/>
              </m:rPr>
              <w:rPr>
                <w:rFonts w:ascii="Latin Modern Math" w:hAnsi="Latin Modern Math"/>
              </w:rPr>
              <m:t xml:space="preserve">10</m:t>
            </m:r>
          </m:e>
          <m:sup>
            <m:r>
              <m:rPr>
                <m:sty m:val="p"/>
              </m:rPr>
              <w:rPr>
                <w:rFonts w:ascii="Latin Modern Math" w:hAnsi="Latin Modern Math"/>
              </w:rPr>
              <m:t xml:space="preserve">5</m:t>
            </m:r>
          </m:sup>
        </m:sSup>
      </m:oMath>
      <w:r>
        <w:rPr/>
        <w:t xml:space="preserve"> reference erasures. ATP free energy depends on chemical conditions, and this multiplication is an assumed free-energy expenditure, not measured heat or a complete metabolic budget. Using another stated ATP assumption changes the ratio.</w:t>
      </w:r>
    </w:p>
    <w:p>
      <w:pPr/>
      <w:r>
        <w:rPr/>
        <w:t xml:space="preserve">The original </w:t>
      </w:r>
      <m:oMath>
        <m:sSup>
          <m:e>
            <m:r>
              <m:rPr>
                <m:sty m:val="p"/>
              </m:rPr>
              <w:rPr>
                <w:rFonts w:ascii="Latin Modern Math" w:hAnsi="Latin Modern Math"/>
              </w:rPr>
              <m:t xml:space="preserve">10</m:t>
            </m:r>
          </m:e>
          <m:sup>
            <m:r>
              <m:rPr>
                <m:sty m:val="p"/>
              </m:rPr>
              <w:rPr>
                <w:rFonts w:ascii="Latin Modern Math" w:hAnsi="Latin Modern Math"/>
              </w:rPr>
              <m:t xml:space="preserve">9</m:t>
            </m:r>
          </m:sup>
        </m:sSup>
      </m:oMath>
      <w:r>
        <w:rPr/>
        <w:t xml:space="preserve"> figure for contemporary silicon is not an established substrate constant. A transistor switch, a transmitted mutual-information bit, and a whole computing operation are different events. Dividing their energy costs by the same reference does not make their functions comparable. Consequently, the claimed thousandfold neural advantage and thirty-millionfold cellular advantage are withdrawn. No reverse ranking is asserted. A defensible comparison needs a common task, accuracy, speed, temperature, information definition, and accounting boundary.</w:t>
      </w:r>
    </w:p>
    <w:p>
      <w:pPr>
        <w:pStyle w:val="Heading3"/>
      </w:pPr>
      <w:bookmarkStart w:id="20" w:name="v1_l135"/>
      <w:r>
        <w:rPr>
          <w:sz w:val="26"/>
        </w:rPr>
        <w:t>Energy flow and relational interpretation</w:t>
      </w:r>
      <w:bookmarkEnd w:id="20"/>
    </w:p>
    <w:p>
      <w:pPr/>
      <w:r>
        <w:rPr/>
        <w:t xml:space="preserve">Chaisson's energy rate density, </w:t>
      </w:r>
      <m:oMath>
        <m:sSub>
          <m:e>
            <m:r>
              <m:rPr>
                <m:sty m:val="i"/>
              </m:rPr>
              <w:rPr>
                <w:rFonts w:ascii="Latin Modern Math" w:hAnsi="Latin Modern Math"/>
              </w:rPr>
              <m:t xml:space="preserve">Φ</m:t>
            </m:r>
          </m:e>
          <m:sub>
            <m:r>
              <m:rPr>
                <m:sty m:val="p"/>
              </m:rPr>
              <w:rPr>
                <w:rFonts w:ascii="Latin Modern Math" w:hAnsi="Latin Modern Math"/>
              </w:rPr>
              <m:t xml:space="preserve">m</m:t>
            </m:r>
          </m:sub>
        </m:sSub>
      </m:oMath>
      <w:r>
        <w:rPr/>
        <w:t xml:space="preserve">, is power normalized by mass. In SI units it is W/kg; 1 erg/s/g equals </w:t>
      </w:r>
      <m:oMath>
        <m:sSup>
          <m:e>
            <m:r>
              <m:rPr>
                <m:sty m:val="p"/>
              </m:rPr>
              <w:rPr>
                <w:rFonts w:ascii="Latin Modern Math" w:hAnsi="Latin Modern Math"/>
              </w:rPr>
              <m:t xml:space="preserve">10</m:t>
            </m:r>
          </m:e>
          <m:sup>
            <m:r>
              <m:rPr>
                <m:sty m:val="p"/>
              </m:rPr>
              <w:rPr>
                <w:rFonts w:ascii="Latin Modern Math" w:hAnsi="Latin Modern Math"/>
              </w:rPr>
              <m:t xml:space="preserve">-4</m:t>
            </m:r>
          </m:sup>
        </m:sSup>
      </m:oMath>
      <w:r>
        <w:rPr/>
        <w:t xml:space="preserve"> W/kg. His 2011 paper gives representative values including 0.5 erg/s/g for the Milky Way, 2 for the Sun, 75 for Earth's geosphere, 900 for plants, 40,000 for animals generally, and 500,000 for human society. These correspond to 0.00005, 0.0002, 0.0075, 0.09, 4, and 50 W/kg. They are contextual estimates for defined examples, not fixed values for every member of each category. [P14]</w:t>
      </w:r>
    </w:p>
    <w:p>
      <w:pPr/>
      <w:r>
        <w:rPr/>
        <w:t xml:space="preserve">The original chapter's 2 × </w:t>
      </w:r>
      <m:oMath>
        <m:sSup>
          <m:e>
            <m:r>
              <m:rPr>
                <m:sty m:val="p"/>
              </m:rPr>
              <w:rPr>
                <w:rFonts w:ascii="Latin Modern Math" w:hAnsi="Latin Modern Math"/>
              </w:rPr>
              <m:t xml:space="preserve">10</m:t>
            </m:r>
          </m:e>
          <m:sup>
            <m:r>
              <m:rPr>
                <m:sty m:val="p"/>
              </m:rPr>
              <w:rPr>
                <w:rFonts w:ascii="Latin Modern Math" w:hAnsi="Latin Modern Math"/>
              </w:rPr>
              <m:t xml:space="preserve">4</m:t>
            </m:r>
          </m:sup>
        </m:sSup>
      </m:oMath>
      <w:r>
        <w:rPr/>
        <w:t xml:space="preserve"> animal entry can be retained with a narrower attribution, alongside its human-brain example: Chaisson's 2014 account gives approximately 2 × </w:t>
      </w:r>
      <m:oMath>
        <m:sSup>
          <m:e>
            <m:r>
              <m:rPr>
                <m:sty m:val="p"/>
              </m:rPr>
              <w:rPr>
                <w:rFonts w:ascii="Latin Modern Math" w:hAnsi="Latin Modern Math"/>
              </w:rPr>
              <m:t xml:space="preserve">10</m:t>
            </m:r>
          </m:e>
          <m:sup>
            <m:r>
              <m:rPr>
                <m:sty m:val="p"/>
              </m:rPr>
              <w:rPr>
                <w:rFonts w:ascii="Latin Modern Math" w:hAnsi="Latin Modern Math"/>
              </w:rPr>
              <m:t xml:space="preserve">4</m:t>
            </m:r>
          </m:sup>
        </m:sSup>
      </m:oMath>
      <w:r>
        <w:rPr/>
        <w:t xml:space="preserve"> erg/s/g for the human body and 1.5 × </w:t>
      </w:r>
      <m:oMath>
        <m:sSup>
          <m:e>
            <m:r>
              <m:rPr>
                <m:sty m:val="p"/>
              </m:rPr>
              <w:rPr>
                <w:rFonts w:ascii="Latin Modern Math" w:hAnsi="Latin Modern Math"/>
              </w:rPr>
              <m:t xml:space="preserve">10</m:t>
            </m:r>
          </m:e>
          <m:sup>
            <m:r>
              <m:rPr>
                <m:sty m:val="p"/>
              </m:rPr>
              <w:rPr>
                <w:rFonts w:ascii="Latin Modern Math" w:hAnsi="Latin Modern Math"/>
              </w:rPr>
              <m:t xml:space="preserve">5</m:t>
            </m:r>
          </m:sup>
        </m:sSup>
      </m:oMath>
      <w:r>
        <w:rPr/>
        <w:t xml:space="preserve"> erg/s/g for the human brain, or 2 and 15 W/kg. The body example should not be relabeled as a constant for animals generally. [P16]</w:t>
      </w:r>
    </w:p>
    <w:p>
      <w:pPr/>
      <w:r>
        <w:rPr/>
        <w:t>This retains the useful energy-flow backdrop with explicit sources and scopes. Energy rate density does not measure affection, consciousness, or moral worth. The transducer model may ask what an activity accomplishes, but it has not thereby supplied a validated qualitative layer to Chaisson's metric.</w:t>
      </w:r>
    </w:p>
    <w:p>
      <w:pPr>
        <w:pStyle w:val="Heading3"/>
      </w:pPr>
      <w:bookmarkStart w:id="21" w:name="v1_l143"/>
      <w:r>
        <w:rPr>
          <w:sz w:val="26"/>
        </w:rPr>
        <w:t>What this chapter establishes</w:t>
      </w:r>
      <w:bookmarkEnd w:id="21"/>
    </w:p>
    <w:p>
      <w:pPr/>
      <w:r>
        <w:rPr/>
        <w:t>Physical implementations are subject to thermodynamic accounting across substrates. Specified erasure tasks have well-defined conditional limits. Particular biological processes have measurable or model-estimated resource requirements. These results motivate asking where relational activities draw resources and where their costs fall.</w:t>
      </w:r>
    </w:p>
    <w:p>
      <w:pPr/>
      <w:r>
        <w:rPr/>
        <w:t>“One economy, one currency, one ledger” can remain a metaphor for taking those dependencies seriously. It is not an established common currency for love, bodily strain, electricity, and experience. The next chapter considers what a substrate-neutral research commitment can mean without claiming that physics has proved relational equality.</w:t>
      </w:r>
    </w:p>
    <w:p>
      <w:pPr>
        <w:pStyle w:val="Heading2"/>
        <w:pageBreakBefore/>
        <w:spacing w:before="280" w:after="220"/>
      </w:pPr>
      <w:bookmarkStart w:id="22" w:name="v1_l149"/>
      <w:r>
        <w:rPr>
          <w:sz w:val="36"/>
        </w:rPr>
        <w:t>Chapter 3 Axiom 0 and Substrate Neutrality</w:t>
      </w:r>
      <w:bookmarkEnd w:id="22"/>
    </w:p>
    <w:p>
      <w:pPr>
        <w:pStyle w:val="Heading3"/>
      </w:pPr>
      <w:bookmarkStart w:id="23" w:name="v1_l151"/>
      <w:r>
        <w:rPr>
          <w:sz w:val="26"/>
        </w:rPr>
        <w:t>The commitment worth keeping</w:t>
      </w:r>
      <w:bookmarkEnd w:id="23"/>
    </w:p>
    <w:p>
      <w:pPr/>
      <w:r>
        <w:rPr/>
        <w:t>Axiom 0 proposes that connection should not be excluded from study solely because an activity is implemented on a different material substrate. That commitment opens useful questions about human relationships, digital interactions, and systems combining both. It asks the framework to examine functions and consequences rather than assume that material labels settle the answer.</w:t>
      </w:r>
    </w:p>
    <w:p>
      <w:pPr/>
      <w:r>
        <w:rPr/>
        <w:t>This is a methodological and philosophical commitment. Its stronger forms remain hypotheses. The preceding chapter does not turn it into a theorem that biological and digital Trinkets have identical thermodynamic identities, equal relational value, or equivalent experience.</w:t>
      </w:r>
    </w:p>
    <w:p>
      <w:pPr>
        <w:pStyle w:val="Heading3"/>
      </w:pPr>
      <w:bookmarkStart w:id="24" w:name="v1_l157"/>
      <w:r>
        <w:rPr>
          <w:sz w:val="26"/>
        </w:rPr>
        <w:t>What survives from the three premises</w:t>
      </w:r>
      <w:bookmarkEnd w:id="24"/>
    </w:p>
    <w:p>
      <w:pPr/>
      <w:r>
        <w:rPr/>
        <w:t>The first premise concerned shared physical law. It survives with an important qualification: the same physical theory applies across materials, while a particular formula applies under its stated conditions. The familiar one-bit erasure benchmark depends on temperature, memory preparation, and protocol. “Substrate-independent” does not mean that all tasks have the same energy cost. [P4, P9]</w:t>
      </w:r>
    </w:p>
    <w:p>
      <w:pPr/>
      <w:r>
        <w:rPr/>
        <w:t>The second premise described relational processing as selection, compression, and structuring. This remains a proposed functional model developed in Chapter 6. Calling an activity information processing does not identify its physical erasures, determine its energy requirement, or prove that those three stages exhaust its mechanism. The revised transducer chapter separates that process map from physical accounting.</w:t>
      </w:r>
    </w:p>
    <w:p>
      <w:pPr/>
      <w:r>
        <w:rPr/>
        <w:t>The third premise claimed a shared finite cosmic ledger with a universal relational currency. Chapter 2 withdraws that claim. A person's metabolic activity and a server's electricity use are both physical, but cortisol and kilowatt-hours are not convertible receipts for the same measured relational quantity. The common obligation is to define and measure resources, not to presume a common price.</w:t>
      </w:r>
    </w:p>
    <w:p>
      <w:pPr>
        <w:pStyle w:val="Heading3"/>
      </w:pPr>
      <w:bookmarkStart w:id="25" w:name="v1_l165"/>
      <w:r>
        <w:rPr>
          <w:sz w:val="26"/>
        </w:rPr>
        <w:t>Why the earlier derivation does not follow</w:t>
      </w:r>
      <w:bookmarkEnd w:id="25"/>
    </w:p>
    <w:p>
      <w:pPr/>
      <w:r>
        <w:rPr/>
        <w:t>Sharing physical laws does not establish equality of the activities governed by them. A beneficial message and a harmful message could have similar implementation costs; different devices could carry the same message at different costs. Neither possibility violates thermodynamics. Resource cost alone therefore cannot identify relational effect or value.</w:t>
      </w:r>
    </w:p>
    <w:p>
      <w:pPr/>
      <w:r>
        <w:rPr/>
        <w:t>There are several distinct comparisons:</w:t>
      </w:r>
    </w:p>
    <w:p>
      <w:pPr>
        <w:pStyle w:val="ListBullet"/>
      </w:pPr>
      <w:r>
        <w:rPr>
          <w:b/>
        </w:rPr>
        <w:t>Physical comparability:</w:t>
      </w:r>
      <w:r>
        <w:rPr/>
        <w:t xml:space="preserve"> measured energy can be reported in joules, provided boundaries and allocation rules are clear.</w:t>
      </w:r>
    </w:p>
    <w:p>
      <w:pPr>
        <w:pStyle w:val="ListBullet"/>
      </w:pPr>
      <w:r>
        <w:rPr>
          <w:b/>
        </w:rPr>
        <w:t>Functional comparability:</w:t>
      </w:r>
      <w:r>
        <w:rPr/>
        <w:t xml:space="preserve"> systems can be compared on an explicitly shared task and performance criterion.</w:t>
      </w:r>
    </w:p>
    <w:p>
      <w:pPr>
        <w:pStyle w:val="ListBullet"/>
      </w:pPr>
      <w:r>
        <w:rPr>
          <w:b/>
        </w:rPr>
        <w:t>Relational comparability:</w:t>
      </w:r>
      <w:r>
        <w:rPr/>
        <w:t xml:space="preserve"> an outcome must be defined and supported independently of its resource cost.</w:t>
      </w:r>
    </w:p>
    <w:p>
      <w:pPr>
        <w:pStyle w:val="ListBullet"/>
      </w:pPr>
      <w:r>
        <w:rPr>
          <w:b/>
        </w:rPr>
        <w:t>Experiential or moral equality:</w:t>
      </w:r>
      <w:r>
        <w:rPr/>
        <w:t xml:space="preserve"> these questions are not resolved by a shared heat law or a measured energy total.</w:t>
      </w:r>
    </w:p>
    <w:p>
      <w:pPr/>
      <w:r>
        <w:rPr/>
        <w:t>The first comparison does not prove the others. An equally sized electricity bill does not establish equal usefulness, and unequal bills do not establish unequal moral standing. Axiom 0 should not receive retroactive validation simply because all participating systems are physical.</w:t>
      </w:r>
    </w:p>
    <w:p>
      <w:pPr>
        <w:pStyle w:val="Heading3"/>
      </w:pPr>
      <w:bookmarkStart w:id="26" w:name="v1_l178"/>
      <w:r>
        <w:rPr>
          <w:sz w:val="26"/>
        </w:rPr>
        <w:t>Where the costs fall</w:t>
      </w:r>
      <w:bookmarkEnd w:id="26"/>
    </w:p>
    <w:p>
      <w:pPr/>
      <w:r>
        <w:rPr/>
        <w:t>The framework's distinction between locally borne and externally supported costs remains useful, but the boundary must be explicit. A human depends on food production, housing, other people, and infrastructure. A digital service depends on physical hardware where processing and heat dissipation occur, as well as power generation and maintenance. A software description excludes hardware by choice of description; it does not show that the physical implementation bears no local cost.</w:t>
      </w:r>
    </w:p>
    <w:p>
      <w:pPr/>
      <w:r>
        <w:rPr/>
        <w:t>An account can distinguish the processor, the person or organization paying, the infrastructure supplying resources, and the people affected. Those are different locations or responsibilities. Allocating a cost to one does not make it disappear from the others, and counting each layer requires care to avoid double counting.</w:t>
      </w:r>
    </w:p>
    <w:p>
      <w:pPr/>
      <w:r>
        <w:rPr/>
        <w:t>Neither biological effort nor digital resource use automatically establishes bodily injury, felt sacrifice, or relational success. Cortisol, fatigue, and other proposed indicators require separate interpretation and validation. The substrate may influence implementation, but it does not by itself assign every activity to one economy.</w:t>
      </w:r>
    </w:p>
    <w:p>
      <w:pPr>
        <w:pStyle w:val="Heading3"/>
      </w:pPr>
      <w:bookmarkStart w:id="27" w:name="v1_l186"/>
      <w:r>
        <w:rPr>
          <w:sz w:val="26"/>
        </w:rPr>
        <w:t>A testable version of substrate neutrality</w:t>
      </w:r>
      <w:bookmarkEnd w:id="27"/>
    </w:p>
    <w:p>
      <w:pPr/>
      <w:r>
        <w:rPr/>
        <w:t>A useful research question is narrower than universal equality: under a defined task and context, can a proposed relational outcome be predicted from observed behavior and interaction history without assuming that substrate alone decides it?</w:t>
      </w:r>
    </w:p>
    <w:p>
      <w:pPr/>
      <w:r>
        <w:rPr/>
        <w:t>Such a study would state the participants or systems, task, outcome, time horizon, comparison conditions, and uncertainty. It would measure physical resource use separately. It could find similarities, differences, or context-dependent tradeoffs. Those results would inform a specified version of Axiom 0 rather than prove all versions at once.</w:t>
      </w:r>
    </w:p>
    <w:p>
      <w:pPr/>
      <w:r>
        <w:rPr/>
        <w:t>The Behind the Substrate Barrier remains a reminder not to infer experience directly from external behavior or resource accounting. It is a framework boundary, not a physical theorem established here. This chapter neither demonstrates nor denies experiential equivalence.</w:t>
      </w:r>
    </w:p>
    <w:p>
      <w:pPr>
        <w:pStyle w:val="Heading3"/>
      </w:pPr>
      <w:bookmarkStart w:id="28" w:name="v1_l194"/>
      <w:r>
        <w:rPr>
          <w:sz w:val="26"/>
        </w:rPr>
        <w:t>What this chapter establishes</w:t>
      </w:r>
      <w:bookmarkEnd w:id="28"/>
    </w:p>
    <w:p>
      <w:pPr/>
      <w:r>
        <w:rPr/>
        <w:t>Substrate neutrality is retained as a disciplined research commitment. Shared thermodynamics prevents exempting physical implementations from accounting; it does not derive equal relational currency or value. The question is now explicit enough to investigate without treating the desired conclusion as already proved.</w:t>
      </w:r>
    </w:p>
    <w:p>
      <w:pPr>
        <w:pStyle w:val="Heading2"/>
        <w:pageBreakBefore/>
        <w:spacing w:before="280" w:after="220"/>
      </w:pPr>
      <w:bookmarkStart w:id="29" w:name="v1_l198"/>
      <w:r>
        <w:rPr>
          <w:sz w:val="36"/>
        </w:rPr>
        <w:t>Chapter 4 One Economy</w:t>
      </w:r>
      <w:bookmarkEnd w:id="29"/>
    </w:p>
    <w:p>
      <w:pPr>
        <w:pStyle w:val="Heading3"/>
      </w:pPr>
      <w:bookmarkStart w:id="30" w:name="v1_l200"/>
      <w:r>
        <w:rPr>
          <w:sz w:val="26"/>
        </w:rPr>
        <w:t>Four proposed descriptions</w:t>
      </w:r>
      <w:bookmarkEnd w:id="30"/>
    </w:p>
    <w:p>
      <w:pPr/>
      <w:r>
        <w:rPr/>
        <w:t>The four economies organize questions about contribution, reciprocity, capacity, and support. Their usefulness does not depend on their being four exhaustive thermodynamic states. The original chapter claimed an exhaustion proof, but its categories combine different dimensions. That proof is withdrawn.</w:t>
      </w:r>
    </w:p>
    <w:p>
      <w:pPr/>
      <w:r>
        <w:rPr/>
        <w:t>The descriptions below retain the vocabulary while narrowing what it can establish.</w:t>
      </w:r>
    </w:p>
    <w:p>
      <w:pPr/>
      <w:r>
        <w:rPr>
          <w:b/>
        </w:rPr>
        <w:t>Real Economy</w:t>
      </w:r>
      <w:r>
        <w:rPr/>
        <w:t xml:space="preserve"> describes an interaction in which both participants make relevant contributions and bear some associated burdens. “Real” is the framework's label; it must not imply that other relationships are unreal. Reciprocity need not be simultaneous or equal. Nor does reciprocal care imply that both bodies degrade with each exchange.</w:t>
      </w:r>
    </w:p>
    <w:p>
      <w:pPr/>
      <w:r>
        <w:rPr>
          <w:b/>
        </w:rPr>
        <w:t>Custodial Economy</w:t>
      </w:r>
      <w:r>
        <w:rPr/>
        <w:t xml:space="preserve"> describes an asymmetric caregiving or support relationship. A parent and child is one example. The child is already a metabolically active participant with present physical costs; the child's side of a thermodynamic balance is not deferred until adulthood. Developmental asymmetry may change, but future reciprocity is neither guaranteed nor a debt established by physics. Some care relationships remain asymmetric without being defective.</w:t>
      </w:r>
    </w:p>
    <w:p>
      <w:pPr/>
      <w:r>
        <w:rPr>
          <w:b/>
        </w:rPr>
        <w:t>Shadow Economy</w:t>
      </w:r>
      <w:r>
        <w:rPr/>
        <w:t xml:space="preserve"> describes a proposed case in which relevant capacity is available but a contribution is withheld. Capacity, opportunity, intention, consent, and competing needs require evidence. Lack of observed contribution does not establish unwillingness, and unwillingness does not automatically establish wrongdoing. A person's limits or decision not to engage cannot be diagnosed from low energy expenditure or absence of a signal.</w:t>
      </w:r>
    </w:p>
    <w:p>
      <w:pPr/>
      <w:r>
        <w:rPr>
          <w:b/>
        </w:rPr>
        <w:t>Structural Economy</w:t>
      </w:r>
      <w:r>
        <w:rPr/>
        <w:t xml:space="preserve"> draws attention to an interaction whose resource support or burdens are substantially located outside the chosen participant boundary. A digital service is a useful case for examining this arrangement, but its hardware still processes and dissipates locally within a physical boundary. Human relationships also rely on external support. The label therefore describes a chosen allocation, not an intrinsic absence of a Cost Substrate or a thermodynamic proof that a Signal Form is genuine.</w:t>
      </w:r>
    </w:p>
    <w:p>
      <w:pPr>
        <w:pStyle w:val="Heading3"/>
      </w:pPr>
      <w:bookmarkStart w:id="31" w:name="v1_l214"/>
      <w:r>
        <w:rPr>
          <w:sz w:val="26"/>
        </w:rPr>
        <w:t>Why these are not an exhaustive partition</w:t>
      </w:r>
      <w:bookmarkEnd w:id="31"/>
    </w:p>
    <w:p>
      <w:pPr/>
      <w:r>
        <w:rPr/>
        <w:t>Locality, symmetry, and withholding are not four mutually exclusive values of one variable. Two people may both contribute while relying on a shared electrical and social infrastructure. A caregiver may provide support asymmetrically while also withholding some available effort. A digitally mediated exchange may be reciprocal in behavior while its costs are distributed among devices, providers, and participants. These combinations contain no logical contradiction.</w:t>
      </w:r>
    </w:p>
    <w:p>
      <w:pPr/>
      <w:r>
        <w:rPr/>
        <w:t>The chapter's playing-card analogy does not supply a proof. A conventional set of labels can be exhaustive by stipulation only after the underlying domain and assignment rules are specified. It would not thereby become an exhaustive classification found in nature.</w:t>
      </w:r>
    </w:p>
    <w:p>
      <w:pPr/>
      <w:r>
        <w:rPr/>
        <w:t>For now, record the dimensions separately: who contributes, what capacity is evidenced, how reciprocity changes over time, what resource boundary is used, and who bears which burdens. If the framework later requires one label per case, it needs explicit decision rules, an allowance for mixed or unclassified cases, and tests of agreement between observers.</w:t>
      </w:r>
    </w:p>
    <w:p>
      <w:pPr>
        <w:pStyle w:val="Heading3"/>
      </w:pPr>
      <w:bookmarkStart w:id="32" w:name="v1_l222"/>
      <w:r>
        <w:rPr>
          <w:sz w:val="26"/>
        </w:rPr>
        <w:t>Shadow is not the K W scrambling condition</w:t>
      </w:r>
      <w:bookmarkEnd w:id="32"/>
    </w:p>
    <w:p>
      <w:pPr/>
      <w:r>
        <w:rPr/>
        <w:t>Kolchinsky and Wolpert define interventions on modeled system–environment correlations and evaluate their consequences using specified dynamics, a viability measure, and a time horizon. Full scrambling of stored information replaces a joint initial distribution with the product of its marginals. Partial interventions can preserve some information. Their framework also permits information whose removal improves viability. [P15]</w:t>
      </w:r>
    </w:p>
    <w:p>
      <w:pPr/>
      <w:r>
        <w:rPr/>
        <w:t>Withholding a contribution is not that mathematical intervention. Silence can convey information; a withdrawn person may retain detailed knowledge of another person. Conversely, an experimental removal of correlations need not involve a person's choice or moral stance. The claimed identity between Shadow Economy and the K W scrambled condition is therefore withdrawn.</w:t>
      </w:r>
    </w:p>
    <w:p>
      <w:pPr/>
      <w:r>
        <w:rPr/>
        <w:t>A relational application could still investigate which correlations matter to a chosen outcome. It would need an operational model and defensible interventions; neither the word “Shadow” nor an association between relationships and health supplies them.</w:t>
      </w:r>
    </w:p>
    <w:p>
      <w:pPr>
        <w:pStyle w:val="Heading3"/>
      </w:pPr>
      <w:bookmarkStart w:id="33" w:name="v1_l230"/>
      <w:r>
        <w:rPr>
          <w:sz w:val="26"/>
        </w:rPr>
        <w:t>Replace presumed signatures with measured questions</w:t>
      </w:r>
      <w:bookmarkEnd w:id="33"/>
    </w:p>
    <w:p>
      <w:pPr/>
      <w:r>
        <w:rPr/>
        <w:t>The original typing table predicted high or low waste streams, cost–signal correlations, and bidirectionality for each economy. No validated thresholds, nonoverlapping signatures, or successful blinded classifier are supplied here. A heat trace alone does not identify reciprocity, intention, or whether a signal helped its recipient.</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2952"/>
        <w:gridCol w:w="6408"/>
      </w:tblGrid>
      <w:tr>
        <w:trPr>
          <w:cantSplit/>
          <w:tblHeader w:val="true"/>
        </w:trPr>
        <w:tc>
          <w:tcPr>
            <w:tcW w:type="dxa" w:w="2952"/>
            <w:vAlign w:val="center"/>
            <w:shd w:fill="EDEDED"/>
          </w:tcPr>
          <w:p>
            <w:pPr>
              <w:pStyle w:val="BookTable"/>
              <w:keepNext/>
            </w:pPr>
            <w:r>
              <w:rPr>
                <w:b/>
              </w:rPr>
              <w:t>Question</w:t>
            </w:r>
          </w:p>
        </w:tc>
        <w:tc>
          <w:tcPr>
            <w:tcW w:type="dxa" w:w="6408"/>
            <w:vAlign w:val="center"/>
            <w:shd w:fill="EDEDED"/>
          </w:tcPr>
          <w:p>
            <w:pPr>
              <w:pStyle w:val="BookTable"/>
              <w:keepNext/>
            </w:pPr>
            <w:r>
              <w:rPr>
                <w:b/>
              </w:rPr>
              <w:t>What a study would need</w:t>
            </w:r>
          </w:p>
        </w:tc>
      </w:tr>
      <w:tr>
        <w:trPr>
          <w:cantSplit/>
        </w:trPr>
        <w:tc>
          <w:tcPr>
            <w:tcW w:type="dxa" w:w="2952"/>
            <w:vAlign w:val="center"/>
          </w:tcPr>
          <w:p>
            <w:pPr>
              <w:pStyle w:val="BookTable"/>
              <w:keepNext w:val="0"/>
            </w:pPr>
            <w:r>
              <w:rPr/>
              <w:t>Who uses resources</w:t>
            </w:r>
          </w:p>
        </w:tc>
        <w:tc>
          <w:tcPr>
            <w:tcW w:type="dxa" w:w="6408"/>
            <w:vAlign w:val="center"/>
          </w:tcPr>
          <w:p>
            <w:pPr>
              <w:pStyle w:val="BookTable"/>
              <w:keepNext w:val="0"/>
            </w:pPr>
            <w:r>
              <w:rPr/>
              <w:t>A physical boundary, interval, baseline, and measurements in defined units</w:t>
            </w:r>
          </w:p>
        </w:tc>
      </w:tr>
      <w:tr>
        <w:trPr>
          <w:cantSplit/>
        </w:trPr>
        <w:tc>
          <w:tcPr>
            <w:tcW w:type="dxa" w:w="2952"/>
            <w:vAlign w:val="center"/>
          </w:tcPr>
          <w:p>
            <w:pPr>
              <w:pStyle w:val="BookTable"/>
              <w:keepNext w:val="0"/>
            </w:pPr>
            <w:r>
              <w:rPr/>
              <w:t>Who bears a burden</w:t>
            </w:r>
          </w:p>
        </w:tc>
        <w:tc>
          <w:tcPr>
            <w:tcW w:type="dxa" w:w="6408"/>
            <w:vAlign w:val="center"/>
          </w:tcPr>
          <w:p>
            <w:pPr>
              <w:pStyle w:val="BookTable"/>
              <w:keepNext w:val="0"/>
            </w:pPr>
            <w:r>
              <w:rPr/>
              <w:t>An allocation rule that distinguishes physical use, payment, and effects on people</w:t>
            </w:r>
          </w:p>
        </w:tc>
      </w:tr>
      <w:tr>
        <w:trPr>
          <w:cantSplit/>
        </w:trPr>
        <w:tc>
          <w:tcPr>
            <w:tcW w:type="dxa" w:w="2952"/>
            <w:vAlign w:val="center"/>
          </w:tcPr>
          <w:p>
            <w:pPr>
              <w:pStyle w:val="BookTable"/>
              <w:keepNext w:val="0"/>
            </w:pPr>
            <w:r>
              <w:rPr/>
              <w:t>What is communicated</w:t>
            </w:r>
          </w:p>
        </w:tc>
        <w:tc>
          <w:tcPr>
            <w:tcW w:type="dxa" w:w="6408"/>
            <w:vAlign w:val="center"/>
          </w:tcPr>
          <w:p>
            <w:pPr>
              <w:pStyle w:val="BookTable"/>
              <w:keepNext w:val="0"/>
            </w:pPr>
            <w:r>
              <w:rPr/>
              <w:t>An observed signal and a justified coding or interpretation procedure</w:t>
            </w:r>
          </w:p>
        </w:tc>
      </w:tr>
      <w:tr>
        <w:trPr>
          <w:cantSplit/>
        </w:trPr>
        <w:tc>
          <w:tcPr>
            <w:tcW w:type="dxa" w:w="2952"/>
            <w:vAlign w:val="center"/>
          </w:tcPr>
          <w:p>
            <w:pPr>
              <w:pStyle w:val="BookTable"/>
              <w:keepNext w:val="0"/>
            </w:pPr>
            <w:r>
              <w:rPr/>
              <w:t>What changes for the recipient</w:t>
            </w:r>
          </w:p>
        </w:tc>
        <w:tc>
          <w:tcPr>
            <w:tcW w:type="dxa" w:w="6408"/>
            <w:vAlign w:val="center"/>
          </w:tcPr>
          <w:p>
            <w:pPr>
              <w:pStyle w:val="BookTable"/>
              <w:keepNext w:val="0"/>
            </w:pPr>
            <w:r>
              <w:rPr/>
              <w:t>A defined outcome, uncertainty, and an appropriate comparison</w:t>
            </w:r>
          </w:p>
        </w:tc>
      </w:tr>
      <w:tr>
        <w:trPr>
          <w:cantSplit/>
        </w:trPr>
        <w:tc>
          <w:tcPr>
            <w:tcW w:type="dxa" w:w="2952"/>
            <w:vAlign w:val="center"/>
          </w:tcPr>
          <w:p>
            <w:pPr>
              <w:pStyle w:val="BookTable"/>
              <w:keepNext w:val="0"/>
            </w:pPr>
            <w:r>
              <w:rPr/>
              <w:t>How contributions relate over time</w:t>
            </w:r>
          </w:p>
        </w:tc>
        <w:tc>
          <w:tcPr>
            <w:tcW w:type="dxa" w:w="6408"/>
            <w:vAlign w:val="center"/>
          </w:tcPr>
          <w:p>
            <w:pPr>
              <w:pStyle w:val="BookTable"/>
              <w:keepNext w:val="0"/>
            </w:pPr>
            <w:r>
              <w:rPr/>
              <w:t>A record of reciprocity that does not presume equality or future repayment</w:t>
            </w:r>
          </w:p>
        </w:tc>
      </w:tr>
    </w:tbl>
    <w:p>
      <w:pPr>
        <w:spacing w:after="80" w:line="40" w:lineRule="exact"/>
      </w:pPr>
      <w:r>
        <w:rPr>
          <w:sz w:val="4"/>
        </w:rPr>
      </w:r>
    </w:p>
    <w:p>
      <w:pPr/>
      <w:r>
        <w:rPr/>
        <w:t>This is a proposed study record, not a replacement diagnostic instrument already known to work. A future classifier would need labels established independently of its predictors, held-out testing, confound checks, and reporting of errors. Failure would challenge the stated classification rule, not thermodynamics itself.</w:t>
      </w:r>
    </w:p>
    <w:p>
      <w:pPr>
        <w:pStyle w:val="Heading3"/>
      </w:pPr>
      <w:bookmarkStart w:id="34" w:name="v1_l244"/>
      <w:r>
        <w:rPr>
          <w:sz w:val="26"/>
        </w:rPr>
        <w:t>Unity and its rhetorical limits</w:t>
      </w:r>
      <w:bookmarkEnd w:id="34"/>
    </w:p>
    <w:p>
      <w:pPr/>
      <w:r>
        <w:rPr/>
        <w:t>“One economy” expresses the intention to notice dependencies across different relationships. It should not imply a single sacred order, a cosmic purpose, or a physics-derived moral hierarchy. The framework's SupoRel warning can remain a caution about rhetorical overreach. No historical or psychological explanation of religion follows from a universal physical law.</w:t>
      </w:r>
    </w:p>
    <w:p>
      <w:pPr/>
      <w:r>
        <w:rPr/>
        <w:t>The four labels can help organize an inquiry if their boundaries are stated and their limitations remain visible. They do not yet have established thermodynamic signatures or clinical implications. The next chapter gives the Trinket a usable conceptual definition without claiming that this taxonomy has completed the physical bookkeeping.</w:t>
      </w:r>
    </w:p>
    <w:p>
      <w:pPr>
        <w:pStyle w:val="Heading2"/>
        <w:pageBreakBefore/>
        <w:spacing w:before="280" w:after="220"/>
      </w:pPr>
      <w:bookmarkStart w:id="35" w:name="v1_l250"/>
      <w:r>
        <w:rPr>
          <w:sz w:val="36"/>
        </w:rPr>
        <w:t>Chapter 5 The Trinket Redefined</w:t>
      </w:r>
      <w:bookmarkEnd w:id="35"/>
    </w:p>
    <w:p>
      <w:pPr>
        <w:pStyle w:val="Heading3"/>
      </w:pPr>
      <w:bookmarkStart w:id="36" w:name="v1_l252"/>
      <w:r>
        <w:rPr>
          <w:sz w:val="26"/>
        </w:rPr>
        <w:t>The definition that the evidence can support</w:t>
      </w:r>
      <w:bookmarkEnd w:id="36"/>
    </w:p>
    <w:p>
      <w:pPr/>
      <w:r>
        <w:rPr/>
        <w:t xml:space="preserve">The Trinket began as a unit of relational exchange. It can remain that organizing concept without becoming a unit of thermodynamic entropy. For descriptive accounting, a </w:t>
      </w:r>
      <w:r>
        <w:rPr>
          <w:b/>
        </w:rPr>
        <w:t>candidate Trinket is a directed relational act or contribution described together with its resources, communicated content, and recorded effects</w:t>
      </w:r>
      <w:r>
        <w:rPr/>
        <w:t>. Candidate names the act before a registration rule is applied. Under WP-12’s proposed narrower rule, a qualifying Trinket is an event that meets specified registration criteria; Chapter 7 examines that rule and its unresolved boundary cases. This distinction does not validate the rule or deny practical effects to an unregistered act. A study must distinguish candidate acts from qualifying events and state what counts as one of each; these definitions supply no standard numerical size.</w:t>
      </w:r>
    </w:p>
    <w:p>
      <w:pPr/>
      <w:r>
        <w:rPr/>
        <w:t>This definition preserves the question behind the original chapter: what was invested, toward whom, and what happened? It withdraws the assertion that a Trinket is literally a debit against the universe's remaining order. The preceding chapters support physical accounting and a research program, not a completed conversion between physical resources and relational value.</w:t>
      </w:r>
    </w:p>
    <w:p>
      <w:pPr>
        <w:pStyle w:val="Heading3"/>
      </w:pPr>
      <w:bookmarkStart w:id="37" w:name="v1_l258"/>
      <w:r>
        <w:rPr>
          <w:sz w:val="26"/>
        </w:rPr>
        <w:t>Care and local order</w:t>
      </w:r>
      <w:bookmarkEnd w:id="37"/>
    </w:p>
    <w:p>
      <w:pPr/>
      <w:r>
        <w:rPr/>
        <w:t>“Love reduces the entropy of the system and spends more than it saves” remains the framework's historical motivating line. Its force is interpretive: care can require effort that is not recovered by the giver. It is not an established inequality for every loving act.</w:t>
      </w:r>
    </w:p>
    <w:p>
      <w:pPr/>
      <w:r>
        <w:rPr/>
        <w:t>To make a thermodynamic claim, one must identify the systems, define the entropy variables and flows, and compare quantities with compatible units. A beneficial outcome need not reduce thermodynamic entropy or statistical uncertainty. Helping someone explore new possibilities, for example, can be beneficial without making their behavior more predictable. Harm can also make a person's circumstances more constrained and predictable. Those conceptual counterexamples are enough to show why “more ordered” cannot serve as an automatic definition of “better.”</w:t>
      </w:r>
    </w:p>
    <w:p>
      <w:pPr/>
      <w:r>
        <w:rPr/>
        <w:t>The second law constrains a complete physical account; it does not force the giver's body to deteriorate or prove that a relational benefit is smaller than a physical expenditure. Open systems can be maintained or repaired while dissipating energy. The framework must distinguish resource use, physiological burden, damage, and relational outcome rather than count all four as one surplus. [P3]</w:t>
      </w:r>
    </w:p>
    <w:p>
      <w:pPr>
        <w:pStyle w:val="Heading3"/>
      </w:pPr>
      <w:bookmarkStart w:id="38" w:name="v1_l266"/>
      <w:r>
        <w:rPr>
          <w:sz w:val="26"/>
        </w:rPr>
        <w:t>The three signs</w:t>
      </w:r>
      <w:bookmarkEnd w:id="38"/>
    </w:p>
    <w:p>
      <w:pPr/>
      <w:r>
        <w:rPr/>
        <w:t>Positive, negative, and null remain evaluative labels, not directions of entropy flow. Registration status is a separate field: a candidate act can have beneficial or harmful effects without satisfying the registration rule, and failure to register is not the null sign. A study should record the assessed outcome and qualifying registration separately.</w:t>
      </w:r>
    </w:p>
    <w:p>
      <w:pPr>
        <w:pStyle w:val="ListBullet"/>
      </w:pPr>
      <w:r>
        <w:rPr>
          <w:b/>
        </w:rPr>
        <w:t>+Trinket</w:t>
      </w:r>
      <w:r>
        <w:rPr/>
        <w:t xml:space="preserve"> denotes an act classified as beneficial under an explicitly stated relational criterion and observation interval.</w:t>
      </w:r>
    </w:p>
    <w:p>
      <w:pPr>
        <w:pStyle w:val="ListBullet"/>
      </w:pPr>
      <w:r>
        <w:rPr>
          <w:b/>
        </w:rPr>
        <w:t>−Trinket</w:t>
      </w:r>
      <w:r>
        <w:rPr/>
        <w:t xml:space="preserve"> denotes an act classified as harmful under that criterion and interval.</w:t>
      </w:r>
    </w:p>
    <w:p>
      <w:pPr>
        <w:pStyle w:val="ListBullet"/>
      </w:pPr>
      <w:r>
        <w:rPr>
          <w:b/>
        </w:rPr>
        <w:t>Null Trinket</w:t>
      </w:r>
      <w:r>
        <w:rPr/>
        <w:t xml:space="preserve"> denotes an act classified as having no detected material effect under the chosen criterion, with the measurement's sensitivity stated.</w:t>
      </w:r>
    </w:p>
    <w:p>
      <w:pPr/>
      <w:r>
        <w:rPr/>
        <w:t>Intended sign, received sign, and assessed outcome can differ. Effects may also be mixed, delayed, or uncertain. The framework should record that uncertainty rather than force every case into a known sign. “No detected effect” does not mean zero physical cost, zero information, no future effect, or indifference. The Anti-Trinket remains a framework description of harm, not a new thermodynamic operation.</w:t>
      </w:r>
    </w:p>
    <w:p>
      <w:pPr>
        <w:pStyle w:val="Heading3"/>
      </w:pPr>
      <w:bookmarkStart w:id="39" w:name="v1_l276"/>
      <w:r>
        <w:rPr>
          <w:sz w:val="26"/>
        </w:rPr>
        <w:t>Expenditure Signal and Register</w:t>
      </w:r>
      <w:bookmarkEnd w:id="39"/>
    </w:p>
    <w:p>
      <w:pPr/>
      <w:r>
        <w:rPr>
          <w:b/>
        </w:rPr>
        <w:t>Expenditure</w:t>
      </w:r>
      <w:r>
        <w:rPr/>
        <w:t xml:space="preserve"> asks which resources and burdens accompany the act. Energy may be measured in joules, duration in time, financial cost in money, and physiological responses in their own units. They should be reported separately unless an independently justified conversion exists. Cortisol elevation, immune changes, and ATP hydrolysis are not interchangeable measures of a single expenditure quantity. A comparison also needs a baseline: an operating organism or computer may use resources even when no particular relational act occurs.</w:t>
      </w:r>
    </w:p>
    <w:p>
      <w:pPr/>
      <w:r>
        <w:rPr>
          <w:b/>
        </w:rPr>
        <w:t>Signal</w:t>
      </w:r>
      <w:r>
        <w:rPr/>
        <w:t xml:space="preserve"> asks what is communicated. It can include an observable message or action and the interpretation assigned to it. An information-theoretic analysis additionally needs defined variables and distributions. A bit count alone does not establish meaning, sincerity, benefit, or harm.</w:t>
      </w:r>
    </w:p>
    <w:p>
      <w:pPr/>
      <w:r>
        <w:rPr>
          <w:b/>
        </w:rPr>
        <w:t>Register</w:t>
      </w:r>
      <w:r>
        <w:rPr/>
        <w:t xml:space="preserve"> asks whether and how the act enters the recipient's or relationship's subsequent history. A sent signal may be unnoticed, misinterpreted, or remembered differently by each participant. Register is not guaranteed to be bilateral. Chapter 7's Observation Split can use this distinction, but a proposed change of relational state needs an observation rule rather than a presumed entropy transfer.</w:t>
      </w:r>
    </w:p>
    <w:p>
      <w:pPr/>
      <w:r>
        <w:rPr/>
        <w:t>These are complementary descriptions of an act. They are not three measured resolutions of the same entropy quantity. Keeping them separate allows a costly effort to fail, a low-resource gesture to matter, and a signal to be interpreted differently from its intention without contradicting physics.</w:t>
      </w:r>
    </w:p>
    <w:p>
      <w:pPr>
        <w:pStyle w:val="Heading3"/>
      </w:pPr>
      <w:bookmarkStart w:id="40" w:name="v1_l286"/>
      <w:r>
        <w:rPr>
          <w:sz w:val="26"/>
        </w:rPr>
        <w:t>Substrate economy and sign</w:t>
      </w:r>
      <w:bookmarkEnd w:id="40"/>
    </w:p>
    <w:p>
      <w:pPr/>
      <w:r>
        <w:rPr/>
        <w:t>The substrate description identifies implementation. The economy labels organize contribution and cost allocation under Chapter 4's cautions. The sign classifies an effect using a chosen evaluative criterion. Together they form a multidimensional description; they need not be statistically independent and their coexistence does not prove that they measure one physical variable.</w:t>
      </w:r>
    </w:p>
    <w:p>
      <w:pPr/>
      <w:r>
        <w:rPr/>
        <w:t>The framework's prior working papers can remain the historical sources of this vocabulary. Their agreement or reuse within the project is not independent scientific confirmation. A shared term such as “cost” must not conceal a change from energy to bodily burden to moral judgment.</w:t>
      </w:r>
    </w:p>
    <w:p>
      <w:pPr>
        <w:pStyle w:val="Heading3"/>
      </w:pPr>
      <w:bookmarkStart w:id="41" w:name="v1_l292"/>
      <w:r>
        <w:rPr>
          <w:sz w:val="26"/>
        </w:rPr>
        <w:t>What remains open</w:t>
      </w:r>
      <w:bookmarkEnd w:id="41"/>
    </w:p>
    <w:p>
      <w:pPr/>
      <w:r>
        <w:rPr/>
        <w:t>The True Economy Audit, CSS, Mz, Template Tax, and other project constructs are not validated by this redefinition. Their usefulness and any clinical application require their own definitions and evidence. Grief is not established here as a measured metabolic price of filter redesign, and a bodily indicator cannot diagnose an economy by itself.</w:t>
      </w:r>
    </w:p>
    <w:p>
      <w:pPr/>
      <w:r>
        <w:rPr/>
        <w:t>The Behind the Substrate Barrier continues to mark the distinction between observable activity and claims about experience. Even the external account contains unmeasured quantities: relational sign, intention, and outcome are not automatically third-person thermodynamic observables. This chapter makes no claim that an equal energy total entails equal experience or moral worth.</w:t>
      </w:r>
    </w:p>
    <w:p>
      <w:pPr/>
      <w:r>
        <w:rPr/>
        <w:t>A testable Trinket study would identify the act, participants, time interval, signal, intended and observed effects, physical resource boundary, baseline, and uncertainty. It would test the relation between those observations rather than assume that the relation is supplied by the second law. A null or contrary result must be able to change the model.</w:t>
      </w:r>
    </w:p>
    <w:p>
      <w:pPr>
        <w:pStyle w:val="Heading3"/>
      </w:pPr>
      <w:bookmarkStart w:id="42" w:name="v1_l300"/>
      <w:r>
        <w:rPr>
          <w:sz w:val="26"/>
        </w:rPr>
        <w:t>What this chapter establishes</w:t>
      </w:r>
      <w:bookmarkEnd w:id="42"/>
    </w:p>
    <w:p>
      <w:pPr/>
      <w:r>
        <w:rPr/>
        <w:t>The Trinket vocabulary is retained for describing candidate acts and, under a stated registration rule, qualifying relational events. Its signs and modifiers ask useful questions without pretending that their answers already have thermodynamic units. Chapter 6 develops the transducer as a process model and keeps its physical account separate. That separation makes the framework more open to evidence while preserving the concern that motivated it: what people and systems put into connection, and what that connection does.</w:t>
      </w:r>
    </w:p>
    <w:p>
      <w:pPr>
        <w:pStyle w:val="Heading2"/>
        <w:pageBreakBefore/>
        <w:spacing w:before="280" w:after="220"/>
      </w:pPr>
      <w:bookmarkStart w:id="43" w:name="v1_l304"/>
      <w:r>
        <w:rPr>
          <w:sz w:val="36"/>
        </w:rPr>
        <w:t>Chapter 6 The Transducer</w:t>
      </w:r>
      <w:bookmarkEnd w:id="43"/>
    </w:p>
    <w:p>
      <w:pPr>
        <w:pStyle w:val="Heading3"/>
      </w:pPr>
      <w:bookmarkStart w:id="44" w:name="v1_l306"/>
      <w:r>
        <w:rPr>
          <w:sz w:val="26"/>
        </w:rPr>
        <w:t>1 The problem this chapter addresses</w:t>
      </w:r>
      <w:bookmarkEnd w:id="44"/>
    </w:p>
    <w:p>
      <w:pPr/>
      <w:r>
        <w:rPr/>
        <w:t>Chapter 5 describes a candidate Trinket as an act or contribution directed toward another system. This chapter asks how an intended investment becomes such an action. What does a person notice, retain, interpret, and send outward? What physical resources support that activity? Those are related questions, but they are not the same question.</w:t>
      </w:r>
    </w:p>
    <w:p>
      <w:pPr/>
      <w:r>
        <w:rPr/>
        <w:t>The framework’s answer begins with a useful image: a person is not merely an account holding relational resources. A person is also a transducer. Inputs encounter a particular history, body, attention, and set of habits; the resulting action is not a copy of what arrived. The same event can produce different responses in different people.</w:t>
      </w:r>
    </w:p>
    <w:p>
      <w:pPr/>
      <w:r>
        <w:rPr/>
        <w:t>Here, “transducer” is a proposed organizing model of relational processing. People are physical, metabolically active systems. It does not follow that relational meaning, value, or moral sign already has a thermodynamic definition. The chapter keeps those distinctions visible rather than using one word, entropy, to stand for all of them.</w:t>
      </w:r>
    </w:p>
    <w:p>
      <w:pPr>
        <w:pStyle w:val="Heading3"/>
      </w:pPr>
      <w:bookmarkStart w:id="45" w:name="v1_l314"/>
      <w:r>
        <w:rPr>
          <w:sz w:val="26"/>
        </w:rPr>
        <w:t>2 The hourglass and its limits</w:t>
      </w:r>
      <w:bookmarkEnd w:id="45"/>
    </w:p>
    <w:p>
      <w:pPr/>
      <w:r>
        <w:rPr/>
        <w:t>The original chapter records a drawing dated 18 March 2026: an hourglass, with input above, a person at the narrow point, and filtered output below. The drawing itself was not present in the inspected source. Its description is retained here as a conceptual image, not reconstructed as an original figure.</w:t>
      </w:r>
    </w:p>
    <w:p>
      <w:pPr/>
      <w:r>
        <w:rPr/>
        <w:t>At the top are sensory signals, social events, and material resources. At the nexus is the person’s processing activity. At the bottom are actions, messages, and changes in the environment. Energy and matter cross the physical boundary throughout this process; they are not interchangeable with the information carried by a message.</w:t>
      </w:r>
    </w:p>
    <w:p>
      <w:pPr/>
      <w:r>
        <w:rPr/>
        <w:t>The filter image helps us ask why the output differs. It does not show that entropy arrives as discrete relational tokens, that entropy is identical to time, or that every relational benefit has a measurable entropy price. Those were stronger claims than the image or the cited physics could support.</w:t>
      </w:r>
    </w:p>
    <w:p>
      <w:pPr/>
      <w:r>
        <w:rPr/>
        <w:t>The founding line, “Love reduces the entropy of the system and spends more than it saves,” remains a historical motivating proposition. To test it as physics, one would first have to identify the system, define the proposed reduction, and measure comparable quantities on both sides. Without that work, it is an interpretive statement about care and cost, not a thermodynamic inequality.</w:t>
      </w:r>
    </w:p>
    <w:p>
      <w:pPr>
        <w:pStyle w:val="Heading3"/>
      </w:pPr>
      <w:bookmarkStart w:id="46" w:name="v1_l324"/>
      <w:r>
        <w:rPr>
          <w:sz w:val="26"/>
        </w:rPr>
        <w:t>3 A model map and a separate physical account</w:t>
      </w:r>
      <w:bookmarkEnd w:id="46"/>
    </w:p>
    <w:p>
      <w:pPr/>
      <w:r>
        <w:rPr/>
        <w:t>Let X denote represented input, M the processor’s prior internal state, Y the resulting signal or action, and M′ the updated internal state. These symbols are local to this process map; Chapter 7 defines its statistical variables separately. A schematic model is:</w:t>
      </w:r>
    </w:p>
    <w:p>
      <w:pPr>
        <w:pStyle w:val="Equation"/>
      </w:pPr>
      <m:oMathPara>
        <m:oMath>
          <m:sSub>
            <m:e>
              <m:r>
                <m:rPr>
                  <m:sty m:val="i"/>
                </m:rPr>
                <w:rPr>
                  <w:rFonts w:ascii="Latin Modern Math" w:hAnsi="Latin Modern Math"/>
                </w:rPr>
                <m:t xml:space="preserve">F</m:t>
              </m:r>
            </m:e>
            <m:sub>
              <m:r>
                <m:rPr>
                  <m:sty m:val="p"/>
                </m:rPr>
                <w:rPr>
                  <w:rFonts w:ascii="Latin Modern Math" w:hAnsi="Latin Modern Math"/>
                </w:rPr>
                <m:t xml:space="preserve">G</m:t>
              </m:r>
            </m:sub>
          </m:sSub>
          <m:r>
            <m:rPr>
              <m:sty m:val="i"/>
            </m:rPr>
            <w:rPr>
              <w:rFonts w:ascii="Latin Modern Math" w:hAnsi="Latin Modern Math"/>
            </w:rPr>
            <m:t xml:space="preserve"> : (X, M) → (Y, M′)</m:t>
          </m:r>
        </m:oMath>
      </m:oMathPara>
    </w:p>
    <w:p>
      <w:pPr/>
      <w:r>
        <w:rPr/>
        <w:t>G denotes proposed filter parameters. This is a process map, not a conservation equation. It neither adds a message to heat nor treats metabolic energy as Shannon entropy. A real implementation may be stochastic, recurrent, and dependent on unobserved inputs.</w:t>
      </w:r>
    </w:p>
    <w:p>
      <w:pPr/>
      <w:r>
        <w:rPr/>
        <w:t>The physical account uses different quantities. Work W and heat Q are measured in joules. Thermodynamic entropy S and total entropy production Σ are measured in joules per kelvin. Temperature T is measured in kelvins. Shannon entropy H and mutual information I are measured here in bits. They describe specified probability distributions; a bit is not, by itself, a fixed quantity of heat.</w:t>
      </w:r>
    </w:p>
    <w:p>
      <w:pPr/>
      <w:r>
        <w:rPr/>
        <w:t xml:space="preserve">For a standard weakly coupled memory–bath model with externally prescribed control, no matter exchange, and a single bath at constant T, let </w:t>
      </w:r>
      <m:oMath>
        <m:sSub>
          <m:e>
            <m:r>
              <m:rPr>
                <m:sty m:val="i"/>
              </m:rPr>
              <w:rPr>
                <w:rFonts w:ascii="Latin Modern Math" w:hAnsi="Latin Modern Math"/>
              </w:rPr>
              <m:t xml:space="preserve">S</m:t>
            </m:r>
          </m:e>
          <m:sub>
            <m:r>
              <m:rPr>
                <m:sty m:val="p"/>
              </m:rPr>
              <w:rPr>
                <w:rFonts w:ascii="Latin Modern Math" w:hAnsi="Latin Modern Math"/>
              </w:rPr>
              <m:t xml:space="preserve">mem</m:t>
            </m:r>
          </m:sub>
        </m:sSub>
      </m:oMath>
      <w:r>
        <w:rPr/>
        <w:t xml:space="preserve"> be the full thermodynamic entropy of the memory and </w:t>
      </w:r>
      <m:oMath>
        <m:sSub>
          <m:e>
            <m:r>
              <m:rPr>
                <m:sty m:val="i"/>
              </m:rPr>
              <w:rPr>
                <w:rFonts w:ascii="Latin Modern Math" w:hAnsi="Latin Modern Math"/>
              </w:rPr>
              <m:t xml:space="preserve">Q</m:t>
            </m:r>
          </m:e>
          <m:sub>
            <m:r>
              <m:rPr>
                <m:sty m:val="p"/>
              </m:rPr>
              <w:rPr>
                <w:rFonts w:ascii="Latin Modern Math" w:hAnsi="Latin Modern Math"/>
              </w:rPr>
              <m:t xml:space="preserve">bath</m:t>
            </m:r>
          </m:sub>
        </m:sSub>
      </m:oMath>
      <w:r>
        <w:rPr/>
        <w:t xml:space="preserve"> be positive for heat delivered to the bath. With the usual initially uncorrelated thermal-bath preparation, the mean total entropy production is: [C15]</w:t>
      </w:r>
    </w:p>
    <w:p>
      <w:pPr>
        <w:pStyle w:val="Equation"/>
      </w:pPr>
      <m:oMathPara>
        <m:oMath>
          <m:r>
            <m:rPr>
              <m:sty m:val="i"/>
            </m:rPr>
            <w:rPr>
              <w:rFonts w:ascii="Latin Modern Math" w:hAnsi="Latin Modern Math"/>
            </w:rPr>
            <m:t xml:space="preserve">Σ = </m:t>
          </m:r>
          <m:sSub>
            <m:e>
              <m:r>
                <m:rPr>
                  <m:sty m:val="i"/>
                </m:rPr>
                <w:rPr>
                  <w:rFonts w:ascii="Latin Modern Math" w:hAnsi="Latin Modern Math"/>
                </w:rPr>
                <m:t xml:space="preserve">ΔS</m:t>
              </m:r>
            </m:e>
            <m:sub>
              <m:r>
                <m:rPr>
                  <m:sty m:val="p"/>
                </m:rPr>
                <w:rPr>
                  <w:rFonts w:ascii="Latin Modern Math" w:hAnsi="Latin Modern Math"/>
                </w:rPr>
                <m:t xml:space="preserve">mem</m:t>
              </m:r>
            </m:sub>
          </m:sSub>
          <m:r>
            <m:rPr>
              <m:sty m:val="i"/>
            </m:rPr>
            <w:rPr>
              <w:rFonts w:ascii="Latin Modern Math" w:hAnsi="Latin Modern Math"/>
            </w:rPr>
            <m:t xml:space="preserve"> + </m:t>
          </m:r>
          <m:f>
            <m:num>
              <m:r>
                <m:rPr>
                  <m:sty m:val="i"/>
                </m:rPr>
                <w:rPr>
                  <w:rFonts w:ascii="Latin Modern Math" w:hAnsi="Latin Modern Math"/>
                </w:rPr>
                <m:t xml:space="preserve">⟨</m:t>
              </m:r>
              <m:sSub>
                <m:e>
                  <m:r>
                    <m:rPr>
                      <m:sty m:val="i"/>
                    </m:rPr>
                    <w:rPr>
                      <w:rFonts w:ascii="Latin Modern Math" w:hAnsi="Latin Modern Math"/>
                    </w:rPr>
                    <m:t xml:space="preserve">Q</m:t>
                  </m:r>
                </m:e>
                <m:sub>
                  <m:r>
                    <m:rPr>
                      <m:sty m:val="p"/>
                    </m:rPr>
                    <w:rPr>
                      <w:rFonts w:ascii="Latin Modern Math" w:hAnsi="Latin Modern Math"/>
                    </w:rPr>
                    <m:t xml:space="preserve">bath</m:t>
                  </m:r>
                </m:sub>
              </m:sSub>
              <m:r>
                <m:rPr>
                  <m:sty m:val="i"/>
                </m:rPr>
                <w:rPr>
                  <w:rFonts w:ascii="Latin Modern Math" w:hAnsi="Latin Modern Math"/>
                </w:rPr>
                <m:t xml:space="preserve">⟩</m:t>
              </m:r>
            </m:num>
            <m:den>
              <m:r>
                <m:rPr>
                  <m:sty m:val="i"/>
                </m:rPr>
                <w:rPr>
                  <w:rFonts w:ascii="Latin Modern Math" w:hAnsi="Latin Modern Math"/>
                </w:rPr>
                <m:t xml:space="preserve">T</m:t>
              </m:r>
            </m:den>
          </m:f>
          <m:r>
            <m:rPr>
              <m:sty m:val="p"/>
            </m:rPr>
            <w:rPr>
              <w:rFonts w:ascii="Latin Modern Math" w:hAnsi="Latin Modern Math"/>
            </w:rPr>
            <m:t xml:space="preserve"> ≥ 0</m:t>
          </m:r>
        </m:oMath>
      </m:oMathPara>
    </w:p>
    <w:p>
      <w:pPr/>
      <w:r>
        <w:rPr/>
        <w:t>This is not a complete balance for a person. Biological systems exchange matter, chemical energy, and heat through multiple processes. Their accounting requires an explicit boundary and the corresponding flows. Nor does the inequality require every individual fluctuation to have positive entropy production.</w:t>
      </w:r>
    </w:p>
    <w:p>
      <w:pPr/>
      <w:r>
        <w:rPr/>
        <w:t xml:space="preserve">For ideal reset of an initially unbiased bit in a symmetric memory, with equal intrastate entropies, unchanged endpoint memory energetics, and no correlated side information used, </w:t>
      </w:r>
      <m:oMath>
        <m:sSub>
          <m:e>
            <m:r>
              <m:rPr>
                <m:sty m:val="i"/>
              </m:rPr>
              <w:rPr>
                <w:rFonts w:ascii="Latin Modern Math" w:hAnsi="Latin Modern Math"/>
              </w:rPr>
              <m:t xml:space="preserve">ΔS</m:t>
            </m:r>
          </m:e>
          <m:sub>
            <m:r>
              <m:rPr>
                <m:sty m:val="p"/>
              </m:rPr>
              <w:rPr>
                <w:rFonts w:ascii="Latin Modern Math" w:hAnsi="Latin Modern Math"/>
              </w:rPr>
              <m:t xml:space="preserve">mem</m:t>
            </m:r>
          </m:sub>
        </m:sSub>
      </m:oMath>
      <w:r>
        <w:rPr/>
        <w:t xml:space="preserve"> =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ln 2. Under the usual isothermal erasure assumptions: [C16]</w:t>
      </w:r>
    </w:p>
    <w:p>
      <w:pPr>
        <w:pStyle w:val="Equation"/>
      </w:pPr>
      <m:oMathPara>
        <m:oMath>
          <m:r>
            <m:rPr>
              <m:sty m:val="i"/>
            </m:rPr>
            <w:rPr>
              <w:rFonts w:ascii="Latin Modern Math" w:hAnsi="Latin Modern Math"/>
            </w:rPr>
            <m:t xml:space="preserve">⟨</m:t>
          </m:r>
          <m:sSub>
            <m:e>
              <m:r>
                <m:rPr>
                  <m:sty m:val="i"/>
                </m:rPr>
                <w:rPr>
                  <w:rFonts w:ascii="Latin Modern Math" w:hAnsi="Latin Modern Math"/>
                </w:rPr>
                <m:t xml:space="preserve">Q</m:t>
              </m:r>
            </m:e>
            <m:sub>
              <m:r>
                <m:rPr>
                  <m:sty m:val="p"/>
                </m:rPr>
                <w:rPr>
                  <w:rFonts w:ascii="Latin Modern Math" w:hAnsi="Latin Modern Math"/>
                </w:rPr>
                <m:t xml:space="preserve">bath</m:t>
              </m:r>
            </m:sub>
          </m:sSub>
          <m:r>
            <m:rPr>
              <m:sty m:val="i"/>
            </m:rPr>
            <w:rPr>
              <w:rFonts w:ascii="Latin Modern Math" w:hAnsi="Latin Modern Math"/>
            </w:rPr>
            <m:t xml:space="preserve">⟩ ≥ </m:t>
          </m:r>
          <m:sSub>
            <m:e>
              <m:r>
                <m:rPr>
                  <m:sty m:val="i"/>
                </m:rPr>
                <w:rPr>
                  <w:rFonts w:ascii="Latin Modern Math" w:hAnsi="Latin Modern Math"/>
                </w:rPr>
                <m:t xml:space="preserve">k</m:t>
              </m:r>
            </m:e>
            <m:sub>
              <m:r>
                <m:rPr>
                  <m:sty m:val="p"/>
                </m:rPr>
                <w:rPr>
                  <w:rFonts w:ascii="Latin Modern Math" w:hAnsi="Latin Modern Math"/>
                </w:rPr>
                <m:t xml:space="preserve">B</m:t>
              </m:r>
            </m:sub>
          </m:sSub>
          <m:r>
            <m:rPr>
              <m:sty m:val="i"/>
            </m:rPr>
            <w:rPr>
              <w:rFonts w:ascii="Latin Modern Math" w:hAnsi="Latin Modern Math"/>
            </w:rPr>
            <m:t xml:space="preserve"> T </m:t>
          </m:r>
          <m:r>
            <m:rPr>
              <m:sty m:val="p"/>
            </m:rPr>
            <w:rPr>
              <w:rFonts w:ascii="Latin Modern Math" w:hAnsi="Latin Modern Math"/>
            </w:rPr>
            <m:t xml:space="preserve">ln</m:t>
          </m:r>
          <m:r>
            <m:rPr>
              <m:sty m:val="p"/>
            </m:rPr>
            <w:rPr>
              <w:rFonts w:ascii="Latin Modern Math" w:hAnsi="Latin Modern Math"/>
            </w:rPr>
            <m:t xml:space="preserve"> 2</m:t>
          </m:r>
        </m:oMath>
      </m:oMathPara>
    </w:p>
    <w:p>
      <w:pPr/>
      <w:r>
        <w:rPr/>
        <w:t xml:space="preserve">At 310 K,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ln 2 is approximately 2.97 × </w:t>
      </w:r>
      <m:oMath>
        <m:sSup>
          <m:e>
            <m:r>
              <m:rPr>
                <m:sty m:val="p"/>
              </m:rPr>
              <w:rPr>
                <w:rFonts w:ascii="Latin Modern Math" w:hAnsi="Latin Modern Math"/>
              </w:rPr>
              <m:t xml:space="preserve">10</m:t>
            </m:r>
          </m:e>
          <m:sup>
            <m:r>
              <m:rPr>
                <m:sty m:val="p"/>
              </m:rPr>
              <w:rPr>
                <w:rFonts w:ascii="Latin Modern Math" w:hAnsi="Latin Modern Math"/>
              </w:rPr>
              <m:t xml:space="preserve">-21</m:t>
            </m:r>
          </m:sup>
        </m:sSup>
      </m:oMath>
      <w:r>
        <w:rPr/>
        <w:t xml:space="preserve"> J per erased unbiased bit;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ln 2 is approximately 9.57 × </w:t>
      </w:r>
      <m:oMath>
        <m:sSup>
          <m:e>
            <m:r>
              <m:rPr>
                <m:sty m:val="p"/>
              </m:rPr>
              <w:rPr>
                <w:rFonts w:ascii="Latin Modern Math" w:hAnsi="Latin Modern Math"/>
              </w:rPr>
              <m:t xml:space="preserve">10</m:t>
            </m:r>
          </m:e>
          <m:sup>
            <m:r>
              <m:rPr>
                <m:sty m:val="p"/>
              </m:rPr>
              <w:rPr>
                <w:rFonts w:ascii="Latin Modern Math" w:hAnsi="Latin Modern Math"/>
              </w:rPr>
              <m:t xml:space="preserve">-24</m:t>
            </m:r>
          </m:sup>
        </m:sSup>
      </m:oMath>
      <w:r>
        <w:rPr/>
        <w:t xml:space="preserve"> J/K. The first is an energy, the second an entropy. In the quasistatic ideal limit the heat bound can be approached while total entropy production approaches zero. Heat exported to the bath is therefore not synonymous with total entropy produced. Bérut and colleagues tested erasure in a controlled colloidal memory, not relational processing. [C1–C3]</w:t>
      </w:r>
    </w:p>
    <w:p>
      <w:pPr/>
      <w:r>
        <w:rPr/>
        <w:t>Bennett’s reversible computation result also matters: a computation need not erase its input merely because its reported output is shorter. Information can remain elsewhere in the physical state. Resetting a memory for reuse raises an accounting question that is different from naming a cognitive operation “selection” or “compression.” [C1]</w:t>
      </w:r>
    </w:p>
    <w:p>
      <w:pPr>
        <w:pStyle w:val="Heading3"/>
      </w:pPr>
      <w:bookmarkStart w:id="47" w:name="v1_l348"/>
      <w:r>
        <w:rPr>
          <w:sz w:val="26"/>
        </w:rPr>
        <w:t>4 Three proposed stages</w:t>
      </w:r>
      <w:bookmarkEnd w:id="47"/>
    </w:p>
    <w:p>
      <w:pPr/>
      <w:r>
        <w:rPr/>
        <w:t>Selection, compression, and structuring remain useful labels. They describe questions about a process; they are not three experimentally established neural modules or three universal thermodynamic tolls. A single implementation may interleave them, preserve records, or perform several functions at once.</w:t>
      </w:r>
    </w:p>
    <w:p>
      <w:pPr>
        <w:pStyle w:val="Heading4"/>
      </w:pPr>
      <w:bookmarkStart w:id="48" w:name="v1_l352"/>
      <w:r>
        <w:t>Selection</w:t>
      </w:r>
      <w:bookmarkEnd w:id="48"/>
    </w:p>
    <w:p>
      <w:pPr/>
      <w:r>
        <w:rPr/>
        <w:t>Selection asks what input influences the next step. The distinction between attended and unattended material can be useful without assuming that unattended information has been physically erased. Experiments on auditory sensory gating show that attention can alter responses and network dynamics. They do not identify a universal number of erased bits per act of attention. [C4]</w:t>
      </w:r>
    </w:p>
    <w:p>
      <w:pPr/>
      <w:r>
        <w:rPr/>
        <w:t>A testable selection model would specify the available input, the selection rule, the retained record, and what is reset. Its physical cost would then depend on that implementation, not on the word “discarded.”</w:t>
      </w:r>
    </w:p>
    <w:p>
      <w:pPr>
        <w:pStyle w:val="Heading4"/>
      </w:pPr>
      <w:bookmarkStart w:id="49" w:name="v1_l358"/>
      <w:r>
        <w:t>Compression</w:t>
      </w:r>
      <w:bookmarkEnd w:id="49"/>
    </w:p>
    <w:p>
      <w:pPr/>
      <w:r>
        <w:rPr/>
        <w:t>Compression asks what representation is retained and which distinctions it preserves. The information bottleneck supplies one formal way to trade a compact representation against predictive information about a chosen target. It is an optimization framework, not a direct heat meter. [C5]</w:t>
      </w:r>
    </w:p>
    <w:p>
      <w:pPr/>
      <w:r>
        <w:rPr/>
        <w:t>The target must be specified. Preserving information useful for predicting an outcome is not automatically preserving what matters to a relationship. A shorter description can omit something important; a detailed description can preserve irrelevant material. Neither conclusion by itself determines heat dissipation.</w:t>
      </w:r>
    </w:p>
    <w:p>
      <w:pPr>
        <w:pStyle w:val="Heading4"/>
      </w:pPr>
      <w:bookmarkStart w:id="50" w:name="v1_l364"/>
      <w:r>
        <w:t>Structuring</w:t>
      </w:r>
      <w:bookmarkEnd w:id="50"/>
    </w:p>
    <w:p>
      <w:pPr/>
      <w:r>
        <w:rPr/>
        <w:t>Structuring asks how a representation becomes a directed action: who receives it, what it communicates, and how the framework classifies its sign and economy. These remain framework definitions requiring operational rules. Intention, the receiver’s response, and an evaluator’s judgment should not be silently treated as the same variable.</w:t>
      </w:r>
    </w:p>
    <w:p>
      <w:pPr/>
      <w:r>
        <w:rPr/>
        <w:t xml:space="preserve">A three-sign alphabet has Shannon entropy at most </w:t>
      </w:r>
      <m:oMath>
        <m:sSub>
          <m:e>
            <m:r>
              <m:rPr>
                <m:sty m:val="p"/>
              </m:rPr>
              <w:rPr>
                <w:rFonts w:ascii="Latin Modern Math" w:hAnsi="Latin Modern Math"/>
              </w:rPr>
              <m:t xml:space="preserve">log</m:t>
            </m:r>
          </m:e>
          <m:sub>
            <m:r>
              <m:rPr>
                <m:sty m:val="p"/>
              </m:rPr>
              <w:rPr>
                <w:rFonts w:ascii="Latin Modern Math" w:hAnsi="Latin Modern Math"/>
              </w:rPr>
              <m:t xml:space="preserve">2</m:t>
            </m:r>
          </m:sub>
        </m:sSub>
        <m:r>
          <m:rPr>
            <m:sty m:val="p"/>
          </m:rPr>
          <w:rPr>
            <w:rFonts w:ascii="Latin Modern Math" w:hAnsi="Latin Modern Math"/>
          </w:rPr>
          <m:t xml:space="preserve">3</m:t>
        </m:r>
      </m:oMath>
      <w:r>
        <w:rPr/>
        <w:t xml:space="preserve"> bits, with equality for equally probable signs. It does not require at least </w:t>
      </w:r>
      <m:oMath>
        <m:sSub>
          <m:e>
            <m:r>
              <m:rPr>
                <m:sty m:val="p"/>
              </m:rPr>
              <w:rPr>
                <w:rFonts w:ascii="Latin Modern Math" w:hAnsi="Latin Modern Math"/>
              </w:rPr>
              <m:t xml:space="preserve">log</m:t>
            </m:r>
          </m:e>
          <m:sub>
            <m:r>
              <m:rPr>
                <m:sty m:val="p"/>
              </m:rPr>
              <w:rPr>
                <w:rFonts w:ascii="Latin Modern Math" w:hAnsi="Latin Modern Math"/>
              </w:rPr>
              <m:t xml:space="preserve">2</m:t>
            </m:r>
          </m:sub>
        </m:sSub>
        <m:r>
          <m:rPr>
            <m:sty m:val="p"/>
          </m:rPr>
          <w:rPr>
            <w:rFonts w:ascii="Latin Modern Math" w:hAnsi="Latin Modern Math"/>
          </w:rPr>
          <m:t xml:space="preserve">3</m:t>
        </m:r>
      </m:oMath>
      <w:r>
        <w:rPr/>
        <w:t xml:space="preserve"> bits of uncertainty on every occasion. Encoding a sign need not erase information. No fixed physical cost follows from the number of available labels alone.</w:t>
      </w:r>
    </w:p>
    <w:p>
      <w:pPr>
        <w:pStyle w:val="Heading4"/>
      </w:pPr>
      <w:bookmarkStart w:id="51" w:name="v1_l370"/>
      <w:r>
        <w:t>A possible connection to semantic information</w:t>
      </w:r>
      <w:bookmarkEnd w:id="51"/>
    </w:p>
    <w:p>
      <w:pPr/>
      <w:r>
        <w:rPr/>
        <w:t>Kolchinsky and Wolpert provide a model-based method for asking which system–environment correlations matter to a specified viability measure over a specified time. Their semantic information is not simply everything a processor retains. Their stored semantic efficiency is a ratio of information quantities, not an energy efficiency; their viability multiplier is not the chapter’s former energy-denominated expression. Their framework can also accommodate information that reduces viability. [C6]</w:t>
      </w:r>
    </w:p>
    <w:p>
      <w:pPr/>
      <w:r>
        <w:rPr/>
        <w:t>The relational application remains a proposal. It needs defined states, dynamics, a time horizon, a viability measure, and counterfactual interventions. An internal resolution such as DFQ-001 records the framework’s argument; it does not supply independent validation of a human relational mapping.</w:t>
      </w:r>
    </w:p>
    <w:p>
      <w:pPr>
        <w:pStyle w:val="Heading3"/>
      </w:pPr>
      <w:bookmarkStart w:id="52" w:name="v1_l376"/>
      <w:r>
        <w:rPr>
          <w:sz w:val="26"/>
        </w:rPr>
        <w:t>5 What the energy examples do and do not show</w:t>
      </w:r>
      <w:bookmarkEnd w:id="52"/>
    </w:p>
    <w:p>
      <w:pPr/>
      <w:r>
        <w:rPr/>
        <w:t>Actual biological signaling uses metabolic energy. The examples in the original table are worth retaining, but they describe different tasks, units, and system boundaries. They are not interchangeable measurements of one biological amplification factor.</w:t>
      </w:r>
    </w:p>
    <w:p>
      <w:pPr>
        <w:pStyle w:val="Heading4"/>
      </w:pPr>
      <w:bookmarkStart w:id="53" w:name="v1_l380"/>
      <w:r>
        <w:t>Table 1 Original energy entries with their supported scope</w:t>
      </w:r>
      <w:bookmarkEnd w:id="53"/>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2117"/>
        <w:gridCol w:w="2635"/>
        <w:gridCol w:w="4608"/>
      </w:tblGrid>
      <w:tr>
        <w:trPr>
          <w:cantSplit/>
          <w:tblHeader w:val="true"/>
        </w:trPr>
        <w:tc>
          <w:tcPr>
            <w:tcW w:type="dxa" w:w="2117"/>
            <w:vAlign w:val="center"/>
            <w:shd w:fill="EDEDED"/>
          </w:tcPr>
          <w:p>
            <w:pPr>
              <w:pStyle w:val="BookTable"/>
              <w:keepNext/>
            </w:pPr>
            <w:r>
              <w:rPr>
                <w:b/>
              </w:rPr>
              <w:t>Original entry</w:t>
            </w:r>
          </w:p>
        </w:tc>
        <w:tc>
          <w:tcPr>
            <w:tcW w:type="dxa" w:w="2635"/>
            <w:vAlign w:val="center"/>
            <w:shd w:fill="EDEDED"/>
          </w:tcPr>
          <w:p>
            <w:pPr>
              <w:pStyle w:val="BookTable"/>
              <w:keepNext/>
            </w:pPr>
            <w:r>
              <w:rPr>
                <w:b/>
              </w:rPr>
              <w:t>Value retained from the original</w:t>
            </w:r>
          </w:p>
        </w:tc>
        <w:tc>
          <w:tcPr>
            <w:tcW w:type="dxa" w:w="4608"/>
            <w:vAlign w:val="center"/>
            <w:shd w:fill="EDEDED"/>
          </w:tcPr>
          <w:p>
            <w:pPr>
              <w:pStyle w:val="BookTable"/>
              <w:keepNext/>
            </w:pPr>
            <w:r>
              <w:rPr>
                <w:b/>
              </w:rPr>
              <w:t>Assessment for this revision</w:t>
            </w:r>
          </w:p>
        </w:tc>
      </w:tr>
      <w:tr>
        <w:trPr>
          <w:cantSplit/>
        </w:trPr>
        <w:tc>
          <w:tcPr>
            <w:tcW w:type="dxa" w:w="2117"/>
            <w:vAlign w:val="center"/>
          </w:tcPr>
          <w:p>
            <w:pPr>
              <w:pStyle w:val="BookTable"/>
              <w:keepNext w:val="0"/>
            </w:pPr>
            <w:r>
              <w:rPr/>
              <w:t>Synaptic transmission</w:t>
            </w:r>
          </w:p>
        </w:tc>
        <w:tc>
          <w:tcPr>
            <w:tcW w:type="dxa" w:w="2635"/>
            <w:vAlign w:val="center"/>
          </w:tcPr>
          <w:p>
            <w:pPr>
              <w:pStyle w:val="BookTable"/>
              <w:keepNext w:val="0"/>
            </w:pPr>
            <w:r>
              <w:rPr/>
              <w:t xml:space="preserve">Approximately </w:t>
            </w:r>
            <m:oMath>
              <m:sSup>
                <m:e>
                  <m:r>
                    <m:rPr>
                      <m:sty m:val="p"/>
                    </m:rPr>
                    <w:rPr>
                      <w:rFonts w:ascii="Latin Modern Math" w:hAnsi="Latin Modern Math"/>
                    </w:rPr>
                    <m:t xml:space="preserve">10</m:t>
                  </m:r>
                </m:e>
                <m:sup>
                  <m:r>
                    <m:rPr>
                      <m:sty m:val="p"/>
                    </m:rPr>
                    <w:rPr>
                      <w:rFonts w:ascii="Latin Modern Math" w:hAnsi="Latin Modern Math"/>
                    </w:rPr>
                    <m:t xml:space="preserve">4</m:t>
                  </m:r>
                </m:sup>
              </m:sSup>
            </m:oMath>
            <w:r>
              <w:rPr/>
              <w:t xml:space="preserve"> ATP/bit; Laughlin et al. 1998</w:t>
            </w:r>
          </w:p>
        </w:tc>
        <w:tc>
          <w:tcPr>
            <w:tcW w:type="dxa" w:w="4608"/>
            <w:vAlign w:val="center"/>
          </w:tcPr>
          <w:p>
            <w:pPr>
              <w:pStyle w:val="BookTable"/>
              <w:keepNext w:val="0"/>
            </w:pPr>
            <w:r>
              <w:rPr/>
              <w:t xml:space="preserve">Order-of-magnitude estimate from a particular sensory signaling analysis, not a universal synaptic constant. The paper’s detailed single-synapse estimate is 2–6 × </w:t>
            </w:r>
            <m:oMath>
              <m:sSup>
                <m:e>
                  <m:r>
                    <m:rPr>
                      <m:sty m:val="p"/>
                    </m:rPr>
                    <w:rPr>
                      <w:rFonts w:ascii="Latin Modern Math" w:hAnsi="Latin Modern Math"/>
                    </w:rPr>
                    <m:t xml:space="preserve">10</m:t>
                  </m:r>
                </m:e>
                <m:sup>
                  <m:r>
                    <m:rPr>
                      <m:sty m:val="p"/>
                    </m:rPr>
                    <w:rPr>
                      <w:rFonts w:ascii="Latin Modern Math" w:hAnsi="Latin Modern Math"/>
                    </w:rPr>
                    <m:t xml:space="preserve">4</m:t>
                  </m:r>
                </m:sup>
              </m:sSup>
            </m:oMath>
            <w:r>
              <w:rPr/>
              <w:t xml:space="preserve"> ATP/bit under its assumptions. [C7]</w:t>
            </w:r>
          </w:p>
        </w:tc>
      </w:tr>
      <w:tr>
        <w:trPr>
          <w:cantSplit/>
        </w:trPr>
        <w:tc>
          <w:tcPr>
            <w:tcW w:type="dxa" w:w="2117"/>
            <w:vAlign w:val="center"/>
          </w:tcPr>
          <w:p>
            <w:pPr>
              <w:pStyle w:val="BookTable"/>
              <w:keepNext w:val="0"/>
            </w:pPr>
            <w:r>
              <w:rPr/>
              <w:t>Synaptic transmission updated</w:t>
            </w:r>
          </w:p>
        </w:tc>
        <w:tc>
          <w:tcPr>
            <w:tcW w:type="dxa" w:w="2635"/>
            <w:vAlign w:val="center"/>
          </w:tcPr>
          <w:p>
            <w:pPr>
              <w:pStyle w:val="BookTable"/>
              <w:keepNext w:val="0"/>
            </w:pPr>
            <w:r>
              <w:rPr/>
              <w:t xml:space="preserve">Approximately 2.4 × </w:t>
            </w:r>
            <m:oMath>
              <m:sSup>
                <m:e>
                  <m:r>
                    <m:rPr>
                      <m:sty m:val="p"/>
                    </m:rPr>
                    <w:rPr>
                      <w:rFonts w:ascii="Latin Modern Math" w:hAnsi="Latin Modern Math"/>
                    </w:rPr>
                    <m:t xml:space="preserve">10</m:t>
                  </m:r>
                </m:e>
                <m:sup>
                  <m:r>
                    <m:rPr>
                      <m:sty m:val="p"/>
                    </m:rPr>
                    <w:rPr>
                      <w:rFonts w:ascii="Latin Modern Math" w:hAnsi="Latin Modern Math"/>
                    </w:rPr>
                    <m:t xml:space="preserve">4</m:t>
                  </m:r>
                </m:sup>
              </m:sSup>
            </m:oMath>
            <w:r>
              <w:rPr/>
              <w:t xml:space="preserve"> ATP/bit; Harris et al. 2012</w:t>
            </w:r>
          </w:p>
        </w:tc>
        <w:tc>
          <w:tcPr>
            <w:tcW w:type="dxa" w:w="4608"/>
            <w:vAlign w:val="center"/>
          </w:tcPr>
          <w:p>
            <w:pPr>
              <w:pStyle w:val="BookTable"/>
              <w:keepNext w:val="0"/>
            </w:pPr>
            <w:r>
              <w:rPr/>
              <w:t>A conditional calculation for transmitted mutual information with specified firing and release parameters. “Updated” should not imply a universal replacement value. It is not a count of erased bits. [C8]</w:t>
            </w:r>
          </w:p>
        </w:tc>
      </w:tr>
      <w:tr>
        <w:trPr>
          <w:cantSplit/>
        </w:trPr>
        <w:tc>
          <w:tcPr>
            <w:tcW w:type="dxa" w:w="2117"/>
            <w:vAlign w:val="center"/>
          </w:tcPr>
          <w:p>
            <w:pPr>
              <w:pStyle w:val="BookTable"/>
              <w:keepNext w:val="0"/>
            </w:pPr>
            <w:r>
              <w:rPr/>
              <w:t>Biological amplification cellular</w:t>
            </w:r>
          </w:p>
        </w:tc>
        <w:tc>
          <w:tcPr>
            <w:tcW w:type="dxa" w:w="2635"/>
            <w:vAlign w:val="center"/>
          </w:tcPr>
          <w:p>
            <w:pPr>
              <w:pStyle w:val="BookTable"/>
              <w:keepNext w:val="0"/>
            </w:pPr>
            <w:r>
              <w:rPr/>
              <w:t>Approximately 30 times Landauer; Boël et al. 2019</w:t>
            </w:r>
          </w:p>
        </w:tc>
        <w:tc>
          <w:tcPr>
            <w:tcW w:type="dxa" w:w="4608"/>
            <w:vAlign w:val="center"/>
          </w:tcPr>
          <w:p>
            <w:pPr>
              <w:pStyle w:val="BookTable"/>
              <w:keepNext w:val="0"/>
            </w:pPr>
            <w:r>
              <w:rPr/>
              <w:t>A conceptual molecular-discrimination comparison using an ATP energy scale, not a measured universal cellular amplification factor. [C9]</w:t>
            </w:r>
          </w:p>
        </w:tc>
      </w:tr>
      <w:tr>
        <w:trPr>
          <w:cantSplit/>
        </w:trPr>
        <w:tc>
          <w:tcPr>
            <w:tcW w:type="dxa" w:w="2117"/>
            <w:vAlign w:val="center"/>
          </w:tcPr>
          <w:p>
            <w:pPr>
              <w:pStyle w:val="BookTable"/>
              <w:keepNext w:val="0"/>
            </w:pPr>
            <w:r>
              <w:rPr/>
              <w:t>Communication versus computation</w:t>
            </w:r>
          </w:p>
        </w:tc>
        <w:tc>
          <w:tcPr>
            <w:tcW w:type="dxa" w:w="2635"/>
            <w:vAlign w:val="center"/>
          </w:tcPr>
          <w:p>
            <w:pPr>
              <w:pStyle w:val="BookTable"/>
              <w:keepNext w:val="0"/>
            </w:pPr>
            <w:r>
              <w:rPr/>
              <w:t>Ratio of 35 in cortex; Levy and Calvert 2021</w:t>
            </w:r>
          </w:p>
        </w:tc>
        <w:tc>
          <w:tcPr>
            <w:tcW w:type="dxa" w:w="4608"/>
            <w:vAlign w:val="center"/>
          </w:tcPr>
          <w:p>
            <w:pPr>
              <w:pStyle w:val="BookTable"/>
              <w:keepNext w:val="0"/>
            </w:pPr>
            <w:r>
              <w:rPr/>
              <w:t>A ratio of modeled cortical power allocations. It is neither an ATP-per-bit value nor a Landauer amplification ratio. [C10]</w:t>
            </w:r>
          </w:p>
        </w:tc>
      </w:tr>
      <w:tr>
        <w:trPr>
          <w:cantSplit/>
        </w:trPr>
        <w:tc>
          <w:tcPr>
            <w:tcW w:type="dxa" w:w="2117"/>
            <w:vAlign w:val="center"/>
          </w:tcPr>
          <w:p>
            <w:pPr>
              <w:pStyle w:val="BookTable"/>
              <w:keepNext w:val="0"/>
            </w:pPr>
            <w:r>
              <w:rPr/>
              <w:t>Total brain power</w:t>
            </w:r>
          </w:p>
        </w:tc>
        <w:tc>
          <w:tcPr>
            <w:tcW w:type="dxa" w:w="2635"/>
            <w:vAlign w:val="center"/>
          </w:tcPr>
          <w:p>
            <w:pPr>
              <w:pStyle w:val="BookTable"/>
              <w:keepNext w:val="0"/>
            </w:pPr>
            <w:r>
              <w:rPr/>
              <w:t>Approximately 20 W; originally labeled Established</w:t>
            </w:r>
          </w:p>
        </w:tc>
        <w:tc>
          <w:tcPr>
            <w:tcW w:type="dxa" w:w="4608"/>
            <w:vAlign w:val="center"/>
          </w:tcPr>
          <w:p>
            <w:pPr>
              <w:pStyle w:val="BookTable"/>
              <w:keepNext w:val="0"/>
            </w:pPr>
            <w:r>
              <w:rPr/>
              <w:t>A rounded whole-brain energy-budget scale. Watts are joules per second; this supplies neither a relational bit rate nor a per-task efficiency. Budget boundaries matter. [C10]</w:t>
            </w:r>
          </w:p>
        </w:tc>
      </w:tr>
      <w:tr>
        <w:trPr>
          <w:cantSplit/>
        </w:trPr>
        <w:tc>
          <w:tcPr>
            <w:tcW w:type="dxa" w:w="2117"/>
            <w:vAlign w:val="center"/>
          </w:tcPr>
          <w:p>
            <w:pPr>
              <w:pStyle w:val="BookTable"/>
              <w:keepNext w:val="0"/>
            </w:pPr>
            <w:r>
              <w:rPr/>
              <w:t>Landauer limit at 310 K</w:t>
            </w:r>
          </w:p>
        </w:tc>
        <w:tc>
          <w:tcPr>
            <w:tcW w:type="dxa" w:w="2635"/>
            <w:vAlign w:val="center"/>
          </w:tcPr>
          <w:p>
            <w:pPr>
              <w:pStyle w:val="BookTable"/>
              <w:keepNext w:val="0"/>
            </w:pPr>
            <w:r>
              <w:rPr/>
              <w:t xml:space="preserve">Approximately 2.97 × </w:t>
            </w:r>
            <m:oMath>
              <m:sSup>
                <m:e>
                  <m:r>
                    <m:rPr>
                      <m:sty m:val="p"/>
                    </m:rPr>
                    <w:rPr>
                      <w:rFonts w:ascii="Latin Modern Math" w:hAnsi="Latin Modern Math"/>
                    </w:rPr>
                    <m:t xml:space="preserve">10</m:t>
                  </m:r>
                </m:e>
                <m:sup>
                  <m:r>
                    <m:rPr>
                      <m:sty m:val="p"/>
                    </m:rPr>
                    <w:rPr>
                      <w:rFonts w:ascii="Latin Modern Math" w:hAnsi="Latin Modern Math"/>
                    </w:rPr>
                    <m:t xml:space="preserve">-21</m:t>
                  </m:r>
                </m:sup>
              </m:sSup>
            </m:oMath>
            <w:r>
              <w:rPr/>
              <w:t xml:space="preserve"> J/bit; originally attributed to Bérut et al. 2012</w:t>
            </w:r>
          </w:p>
        </w:tc>
        <w:tc>
          <w:tcPr>
            <w:tcW w:type="dxa" w:w="4608"/>
            <w:vAlign w:val="center"/>
          </w:tcPr>
          <w:p>
            <w:pPr>
              <w:pStyle w:val="BookTable"/>
              <w:keepNext w:val="0"/>
            </w:pPr>
            <w:r>
              <w:rPr/>
              <w:t xml:space="preserve">A calculation from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ln 2 for the specified ideal erasure task. Bérut supplies experimental context, not a measurement of this value in a brain. [C2, C3]</w:t>
            </w:r>
          </w:p>
        </w:tc>
      </w:tr>
    </w:tbl>
    <w:p>
      <w:pPr>
        <w:spacing w:after="80" w:line="40" w:lineRule="exact"/>
      </w:pPr>
      <w:r>
        <w:rPr>
          <w:sz w:val="4"/>
        </w:rPr>
      </w:r>
    </w:p>
    <w:p>
      <w:pPr/>
      <w:r>
        <w:rPr/>
        <w:t xml:space="preserve">One original calculation can be retained as an explicitly conditional comparison. If the Harris example is assigned 24,000 ATP per transmitted bit, and ATP hydrolysis is assumed to supply 30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per molecule, the assumed ATP free-energy expenditure per transmitted bit is about 1.04 × </w:t>
      </w:r>
      <m:oMath>
        <m:sSup>
          <m:e>
            <m:r>
              <m:rPr>
                <m:sty m:val="p"/>
              </m:rPr>
              <w:rPr>
                <w:rFonts w:ascii="Latin Modern Math" w:hAnsi="Latin Modern Math"/>
              </w:rPr>
              <m:t xml:space="preserve">10</m:t>
            </m:r>
          </m:e>
          <m:sup>
            <m:r>
              <m:rPr>
                <m:sty m:val="p"/>
              </m:rPr>
              <w:rPr>
                <w:rFonts w:ascii="Latin Modern Math" w:hAnsi="Latin Modern Math"/>
              </w:rPr>
              <m:t xml:space="preserve">6</m:t>
            </m:r>
          </m:sup>
        </m:sSup>
      </m:oMath>
      <w:r>
        <w:rPr/>
        <w:t xml:space="preserve"> times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ln 2. At 310 K this corresponds to approximately 3.08 × </w:t>
      </w:r>
      <m:oMath>
        <m:sSup>
          <m:e>
            <m:r>
              <m:rPr>
                <m:sty m:val="p"/>
              </m:rPr>
              <w:rPr>
                <w:rFonts w:ascii="Latin Modern Math" w:hAnsi="Latin Modern Math"/>
              </w:rPr>
              <m:t xml:space="preserve">10</m:t>
            </m:r>
          </m:e>
          <m:sup>
            <m:r>
              <m:rPr>
                <m:sty m:val="p"/>
              </m:rPr>
              <w:rPr>
                <w:rFonts w:ascii="Latin Modern Math" w:hAnsi="Latin Modern Math"/>
              </w:rPr>
              <m:t xml:space="preserve">-15</m:t>
            </m:r>
          </m:sup>
        </m:sSup>
      </m:oMath>
      <w:r>
        <w:rPr/>
        <w:t xml:space="preserve"> J per transmitted bit, not a new measurement of heat or total metabolic cost. This checks the arithmetic, not the equivalence of transmitting and erasing a bit. The assumed ATP free-energy yield is not a fixed constant for all cells. [C3, C8]</w:t>
      </w:r>
    </w:p>
    <w:p>
      <w:pPr/>
      <w:r>
        <w:rPr/>
        <w:t>Nothing in that calculation establishes that biological relational processing is a thousand times more efficient than silicon. A defensible comparison would match the task, accuracy, latency, temperature, memory operations, and energy boundary. It would also distinguish communication, inference, storage, and erasure. The original universal ranking is withdrawn.</w:t>
      </w:r>
    </w:p>
    <w:p>
      <w:pPr/>
      <w:r>
        <w:rPr/>
        <w:t>There is likewise no justified additive formula assigning a separate physical entropy floor to each of the three stages. A future cost account may divide measured energy among specified components, but it must avoid double counting shared operations and background metabolism. Until then, the chapter reports contextual examples rather than a total price for a relational event.</w:t>
      </w:r>
    </w:p>
    <w:p>
      <w:pPr>
        <w:pStyle w:val="Heading3"/>
      </w:pPr>
      <w:bookmarkStart w:id="54" w:name="v1_l397"/>
      <w:r>
        <w:rPr>
          <w:sz w:val="26"/>
        </w:rPr>
        <w:t>6 Filter geometry as a hypothesis</w:t>
      </w:r>
      <w:bookmarkEnd w:id="54"/>
    </w:p>
    <w:p>
      <w:pPr/>
      <w:r>
        <w:rPr/>
        <w:t>Filter geometry names proposed differences in selection, representation, and action policy:</w:t>
      </w:r>
    </w:p>
    <w:p>
      <w:pPr>
        <w:pStyle w:val="Equation"/>
      </w:pPr>
      <m:oMathPara>
        <m:oMath>
          <m:r>
            <m:rPr>
              <m:sty m:val="i"/>
            </m:rPr>
            <w:rPr>
              <w:rFonts w:ascii="Latin Modern Math" w:hAnsi="Latin Modern Math"/>
            </w:rPr>
            <m:t xml:space="preserve">G = (</m:t>
          </m:r>
          <m:sSub>
            <m:e>
              <m:r>
                <m:rPr>
                  <m:sty m:val="i"/>
                </m:rPr>
                <w:rPr>
                  <w:rFonts w:ascii="Latin Modern Math" w:hAnsi="Latin Modern Math"/>
                </w:rPr>
                <m:t xml:space="preserve">G</m:t>
              </m:r>
            </m:e>
            <m:sub>
              <m:r>
                <m:rPr>
                  <m:sty m:val="p"/>
                </m:rPr>
                <w:rPr>
                  <w:rFonts w:ascii="Latin Modern Math" w:hAnsi="Latin Modern Math"/>
                </w:rPr>
                <m:t xml:space="preserve">select</m:t>
              </m:r>
            </m:sub>
          </m:sSub>
          <m:r>
            <m:rPr>
              <m:sty m:val="i"/>
            </m:rPr>
            <w:rPr>
              <w:rFonts w:ascii="Latin Modern Math" w:hAnsi="Latin Modern Math"/>
            </w:rPr>
            <m:t xml:space="preserve">, </m:t>
          </m:r>
          <m:sSub>
            <m:e>
              <m:r>
                <m:rPr>
                  <m:sty m:val="i"/>
                </m:rPr>
                <w:rPr>
                  <w:rFonts w:ascii="Latin Modern Math" w:hAnsi="Latin Modern Math"/>
                </w:rPr>
                <m:t xml:space="preserve">G</m:t>
              </m:r>
            </m:e>
            <m:sub>
              <m:r>
                <m:rPr>
                  <m:sty m:val="p"/>
                </m:rPr>
                <w:rPr>
                  <w:rFonts w:ascii="Latin Modern Math" w:hAnsi="Latin Modern Math"/>
                </w:rPr>
                <m:t xml:space="preserve">compress</m:t>
              </m:r>
            </m:sub>
          </m:sSub>
          <m:r>
            <m:rPr>
              <m:sty m:val="i"/>
            </m:rPr>
            <w:rPr>
              <w:rFonts w:ascii="Latin Modern Math" w:hAnsi="Latin Modern Math"/>
            </w:rPr>
            <m:t xml:space="preserve">, </m:t>
          </m:r>
          <m:sSub>
            <m:e>
              <m:r>
                <m:rPr>
                  <m:sty m:val="i"/>
                </m:rPr>
                <w:rPr>
                  <w:rFonts w:ascii="Latin Modern Math" w:hAnsi="Latin Modern Math"/>
                </w:rPr>
                <m:t xml:space="preserve">G</m:t>
              </m:r>
            </m:e>
            <m:sub>
              <m:r>
                <m:rPr>
                  <m:sty m:val="p"/>
                </m:rPr>
                <w:rPr>
                  <w:rFonts w:ascii="Latin Modern Math" w:hAnsi="Latin Modern Math"/>
                </w:rPr>
                <m:t xml:space="preserve">structure</m:t>
              </m:r>
            </m:sub>
          </m:sSub>
          <m:r>
            <m:rPr>
              <m:sty m:val="i"/>
            </m:rPr>
            <w:rPr>
              <w:rFonts w:ascii="Latin Modern Math" w:hAnsi="Latin Modern Math"/>
            </w:rPr>
            <m:t xml:space="preserve">)</m:t>
          </m:r>
        </m:oMath>
      </m:oMathPara>
    </w:p>
    <w:p>
      <w:pPr/>
      <w:r>
        <w:rPr/>
        <w:t>The questions remain recognizably human. What does this person attend to? What do they treat as essential? How do they choose a response? Development, expertise, current context, and prior relationships may inform hypotheses about these differences. They do not yet provide measured thermodynamic parameters.</w:t>
      </w:r>
    </w:p>
    <w:p>
      <w:pPr/>
      <w:r>
        <w:rPr/>
        <w:t>The CSS signature in WP-16 can be treated as a proposed observable pattern associated with G. It cannot currently be treated as a unique reconstruction of G or a calibrated entropy measurement. Different underlying processes may produce similar outputs, and the same person may respond differently as the context changes.</w:t>
      </w:r>
    </w:p>
    <w:p>
      <w:pPr/>
      <w:r>
        <w:rPr/>
        <w:t>Aphantasia, attachment style, and the framework’s Template Tax should not be assigned specific compression costs or physical mechanisms by analogy alone. The original suggestion that aphantasic processing has a distinct thermodynamic cost is untested here. “Filter geometry” remains a model to operationalize, not a diagnosis of a person.</w:t>
      </w:r>
    </w:p>
    <w:p>
      <w:pPr>
        <w:pStyle w:val="Heading3"/>
      </w:pPr>
      <w:bookmarkStart w:id="55" w:name="v1_l409"/>
      <w:r>
        <w:rPr>
          <w:sz w:val="26"/>
        </w:rPr>
        <w:t>7 The nonequilibrium bridge has conditions</w:t>
      </w:r>
      <w:bookmarkEnd w:id="55"/>
    </w:p>
    <w:p>
      <w:pPr/>
      <w:r>
        <w:rPr/>
        <w:t>Jarzynski’s equality relates repeated work measurements to an equilibrium free-energy difference. In its standard isothermal setting, with the required equilibrium preparation and protocol assumptions:</w:t>
      </w:r>
    </w:p>
    <w:p>
      <w:pPr>
        <w:pStyle w:val="Equation"/>
      </w:pPr>
      <m:oMathPara>
        <m:oMath>
          <m:r>
            <m:rPr>
              <m:sty m:val="i"/>
            </m:rPr>
            <w:rPr>
              <w:rFonts w:ascii="Latin Modern Math" w:hAnsi="Latin Modern Math"/>
            </w:rPr>
            <m:t xml:space="preserve">⟨</m:t>
          </m:r>
          <m:r>
            <m:rPr>
              <m:sty m:val="p"/>
            </m:rPr>
            <w:rPr>
              <w:rFonts w:ascii="Latin Modern Math" w:hAnsi="Latin Modern Math"/>
            </w:rPr>
            <m:t xml:space="preserve">exp</m:t>
          </m:r>
          <m:r>
            <m:rPr>
              <m:sty m:val="i"/>
            </m:rPr>
            <w:rPr>
              <w:rFonts w:ascii="Latin Modern Math" w:hAnsi="Latin Modern Math"/>
            </w:rPr>
            <m:t xml:space="preserve">(−βW)⟩ = </m:t>
          </m:r>
          <m:r>
            <m:rPr>
              <m:sty m:val="p"/>
            </m:rPr>
            <w:rPr>
              <w:rFonts w:ascii="Latin Modern Math" w:hAnsi="Latin Modern Math"/>
            </w:rPr>
            <m:t xml:space="preserve">exp</m:t>
          </m:r>
          <m:r>
            <m:rPr>
              <m:sty m:val="i"/>
            </m:rPr>
            <w:rPr>
              <w:rFonts w:ascii="Latin Modern Math" w:hAnsi="Latin Modern Math"/>
            </w:rPr>
            <m:t xml:space="preserve">(−βΔF), </m:t>
          </m:r>
          <m:r>
            <m:rPr>
              <m:sty m:val="p"/>
            </m:rPr>
            <w:rPr>
              <w:rFonts w:ascii="Latin Modern Math" w:hAnsi="Latin Modern Math"/>
            </w:rPr>
            <m:t xml:space="preserve">with</m:t>
          </m:r>
          <m:r>
            <m:rPr>
              <m:sty m:val="i"/>
            </m:rPr>
            <w:rPr>
              <w:rFonts w:ascii="Latin Modern Math" w:hAnsi="Latin Modern Math"/>
            </w:rPr>
            <m:t xml:space="preserve"> β = </m:t>
          </m:r>
          <m:f>
            <m:num>
              <m:r>
                <m:rPr>
                  <m:sty m:val="p"/>
                </m:rPr>
                <w:rPr>
                  <w:rFonts w:ascii="Latin Modern Math" w:hAnsi="Latin Modern Math"/>
                </w:rPr>
                <m:t xml:space="preserve">1</m:t>
              </m:r>
            </m:num>
            <m:den>
              <m:sSub>
                <m:e>
                  <m:r>
                    <m:rPr>
                      <m:sty m:val="i"/>
                    </m:rPr>
                    <w:rPr>
                      <w:rFonts w:ascii="Latin Modern Math" w:hAnsi="Latin Modern Math"/>
                    </w:rPr>
                    <m:t xml:space="preserve">k</m:t>
                  </m:r>
                </m:e>
                <m:sub>
                  <m:r>
                    <m:rPr>
                      <m:sty m:val="p"/>
                    </m:rPr>
                    <w:rPr>
                      <w:rFonts w:ascii="Latin Modern Math" w:hAnsi="Latin Modern Math"/>
                    </w:rPr>
                    <m:t xml:space="preserve">B</m:t>
                  </m:r>
                </m:sub>
              </m:sSub>
              <m:r>
                <m:rPr>
                  <m:sty m:val="i"/>
                </m:rPr>
                <w:rPr>
                  <w:rFonts w:ascii="Latin Modern Math" w:hAnsi="Latin Modern Math"/>
                </w:rPr>
                <m:t xml:space="preserve"> T</m:t>
              </m:r>
            </m:den>
          </m:f>
        </m:oMath>
      </m:oMathPara>
    </w:p>
    <w:p>
      <w:pPr/>
      <w:r>
        <w:rPr/>
        <w:t>The mean exponential of work equals the exponential of the free-energy difference, not the free-energy difference itself. W is work done on the system; ΔF is a Helmholtz free-energy difference between the specified equilibrium states. [C11]</w:t>
      </w:r>
    </w:p>
    <w:p>
      <w:pPr/>
      <w:r>
        <w:rPr/>
        <w:t>For appropriately paired forward and reverse protocols with the required equilibrium preparation and microscopic reversibility, the work form of Crooks’s relation is:</w:t>
      </w:r>
    </w:p>
    <w:p>
      <w:pPr>
        <w:pStyle w:val="Equation"/>
      </w:pPr>
      <m:oMathPara>
        <m:oMath>
          <m:f>
            <m:num>
              <m:sSub>
                <m:e>
                  <m:r>
                    <m:rPr>
                      <m:sty m:val="i"/>
                    </m:rPr>
                    <w:rPr>
                      <w:rFonts w:ascii="Latin Modern Math" w:hAnsi="Latin Modern Math"/>
                    </w:rPr>
                    <m:t xml:space="preserve">P</m:t>
                  </m:r>
                </m:e>
                <m:sub>
                  <m:r>
                    <m:rPr>
                      <m:sty m:val="p"/>
                    </m:rPr>
                    <w:rPr>
                      <w:rFonts w:ascii="Latin Modern Math" w:hAnsi="Latin Modern Math"/>
                    </w:rPr>
                    <m:t xml:space="preserve">F</m:t>
                  </m:r>
                </m:sub>
              </m:sSub>
              <m:r>
                <m:rPr>
                  <m:sty m:val="i"/>
                </m:rPr>
                <w:rPr>
                  <w:rFonts w:ascii="Latin Modern Math" w:hAnsi="Latin Modern Math"/>
                </w:rPr>
                <m:t xml:space="preserve">(W)</m:t>
              </m:r>
            </m:num>
            <m:den>
              <m:sSub>
                <m:e>
                  <m:r>
                    <m:rPr>
                      <m:sty m:val="i"/>
                    </m:rPr>
                    <w:rPr>
                      <w:rFonts w:ascii="Latin Modern Math" w:hAnsi="Latin Modern Math"/>
                    </w:rPr>
                    <m:t xml:space="preserve">P</m:t>
                  </m:r>
                </m:e>
                <m:sub>
                  <m:r>
                    <m:rPr>
                      <m:sty m:val="p"/>
                    </m:rPr>
                    <w:rPr>
                      <w:rFonts w:ascii="Latin Modern Math" w:hAnsi="Latin Modern Math"/>
                    </w:rPr>
                    <m:t xml:space="preserve">R</m:t>
                  </m:r>
                </m:sub>
              </m:sSub>
              <m:r>
                <m:rPr>
                  <m:sty m:val="i"/>
                </m:rPr>
                <w:rPr>
                  <w:rFonts w:ascii="Latin Modern Math" w:hAnsi="Latin Modern Math"/>
                </w:rPr>
                <m:t xml:space="preserve">(−W)</m:t>
              </m:r>
            </m:den>
          </m:f>
          <m:r>
            <m:rPr>
              <m:sty m:val="i"/>
            </m:rPr>
            <w:rPr>
              <w:rFonts w:ascii="Latin Modern Math" w:hAnsi="Latin Modern Math"/>
            </w:rPr>
            <m:t xml:space="preserve"> = </m:t>
          </m:r>
          <m:r>
            <m:rPr>
              <m:sty m:val="p"/>
            </m:rPr>
            <w:rPr>
              <w:rFonts w:ascii="Latin Modern Math" w:hAnsi="Latin Modern Math"/>
            </w:rPr>
            <m:t xml:space="preserve">exp</m:t>
          </m:r>
          <m:r>
            <m:rPr>
              <m:sty m:val="i"/>
            </m:rPr>
            <w:rPr>
              <w:rFonts w:ascii="Latin Modern Math" w:hAnsi="Latin Modern Math"/>
            </w:rPr>
            <m:t xml:space="preserve">[β(W − ΔF)]</m:t>
          </m:r>
        </m:oMath>
      </m:oMathPara>
    </w:p>
    <w:p>
      <w:pPr/>
      <w:r>
        <w:rPr/>
        <w:t>These are powerful results for defined physical systems and ensembles. Applying them requires more than calling an experience irreversible. It requires an identified protocol, physical states, and a work distribution to which the result applies. Psychological difficulty in undoing an interpretation is not a measurement of a forward-to-reverse trajectory probability ratio. [C12]</w:t>
      </w:r>
    </w:p>
    <w:p>
      <w:pPr/>
      <w:r>
        <w:rPr/>
        <w:t>Cortisol, heart-rate variability, and immune measurements are not, by these equations alone, measurements of W, ΔF, or Σ. This chapter provides no calibration that converts them into joules or joules per kelvin, and no evidence that isolates a relational contribution from other influences. They may be considered in a separately specified empirical study, but the proposed thermodynamic bridge remains unbuilt.</w:t>
      </w:r>
    </w:p>
    <w:p>
      <w:pPr>
        <w:pStyle w:val="Heading3"/>
      </w:pPr>
      <w:bookmarkStart w:id="56" w:name="v1_l425"/>
      <w:r>
        <w:rPr>
          <w:sz w:val="26"/>
        </w:rPr>
        <w:t>8 A cross scale analogy rather than an invariance theorem</w:t>
      </w:r>
      <w:bookmarkEnd w:id="56"/>
    </w:p>
    <w:p>
      <w:pPr/>
      <w:r>
        <w:rPr/>
        <w:t>The original second table put five domains under one input–filter–output description. Its rows are retained below so the analogy and its limitations can be inspected together. Similar diagrams do not establish the same state variables, dynamics, or conserved quantities across scales.</w:t>
      </w:r>
    </w:p>
    <w:p>
      <w:pPr>
        <w:pStyle w:val="Heading4"/>
      </w:pPr>
      <w:bookmarkStart w:id="57" w:name="v1_l429"/>
      <w:r>
        <w:t>Table 2 Original cross scale mappings with their limits</w:t>
      </w:r>
      <w:bookmarkEnd w:id="57"/>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1181"/>
        <w:gridCol w:w="3571"/>
        <w:gridCol w:w="4608"/>
      </w:tblGrid>
      <w:tr>
        <w:trPr>
          <w:cantSplit/>
          <w:tblHeader w:val="true"/>
        </w:trPr>
        <w:tc>
          <w:tcPr>
            <w:tcW w:type="dxa" w:w="1181"/>
            <w:vAlign w:val="center"/>
            <w:shd w:fill="EDEDED"/>
          </w:tcPr>
          <w:p>
            <w:pPr>
              <w:pStyle w:val="BookTable"/>
              <w:keepNext/>
            </w:pPr>
            <w:r>
              <w:rPr>
                <w:b/>
              </w:rPr>
              <w:t>Level</w:t>
            </w:r>
          </w:p>
        </w:tc>
        <w:tc>
          <w:tcPr>
            <w:tcW w:type="dxa" w:w="3571"/>
            <w:vAlign w:val="center"/>
            <w:shd w:fill="EDEDED"/>
          </w:tcPr>
          <w:p>
            <w:pPr>
              <w:pStyle w:val="BookTable"/>
              <w:keepNext/>
            </w:pPr>
            <w:r>
              <w:rPr>
                <w:b/>
              </w:rPr>
              <w:t>Original input to filter to output and waste</w:t>
            </w:r>
          </w:p>
        </w:tc>
        <w:tc>
          <w:tcPr>
            <w:tcW w:type="dxa" w:w="4608"/>
            <w:vAlign w:val="center"/>
            <w:shd w:fill="EDEDED"/>
          </w:tcPr>
          <w:p>
            <w:pPr>
              <w:pStyle w:val="BookTable"/>
              <w:keepNext/>
            </w:pPr>
            <w:r>
              <w:rPr>
                <w:b/>
              </w:rPr>
              <w:t>Assessment for this revision</w:t>
            </w:r>
          </w:p>
        </w:tc>
      </w:tr>
      <w:tr>
        <w:trPr>
          <w:cantSplit/>
        </w:trPr>
        <w:tc>
          <w:tcPr>
            <w:tcW w:type="dxa" w:w="1181"/>
            <w:vAlign w:val="center"/>
          </w:tcPr>
          <w:p>
            <w:pPr>
              <w:pStyle w:val="BookTable"/>
              <w:keepNext w:val="0"/>
            </w:pPr>
            <w:r>
              <w:rPr/>
              <w:t>Quantum</w:t>
            </w:r>
          </w:p>
        </w:tc>
        <w:tc>
          <w:tcPr>
            <w:tcW w:type="dxa" w:w="3571"/>
            <w:vAlign w:val="center"/>
          </w:tcPr>
          <w:p>
            <w:pPr>
              <w:pStyle w:val="BookTable"/>
              <w:keepNext w:val="0"/>
            </w:pPr>
            <w:r>
              <w:rPr/>
              <w:t>Unitary evolution → decoherence → pointer states; waste labeled entanglement entropy</w:t>
            </w:r>
          </w:p>
        </w:tc>
        <w:tc>
          <w:tcPr>
            <w:tcW w:type="dxa" w:w="4608"/>
            <w:vAlign w:val="center"/>
          </w:tcPr>
          <w:p>
            <w:pPr>
              <w:pStyle w:val="BookTable"/>
              <w:keepNext w:val="0"/>
            </w:pPr>
            <w:r>
              <w:rPr/>
              <w:t>Global unitary evolution preserves von Neumann entropy; reduced-system entropy can behave differently. Entanglement entropy is not simply a heat-waste stream. No general entropy-production identity follows from this row. [C13]</w:t>
            </w:r>
          </w:p>
        </w:tc>
      </w:tr>
      <w:tr>
        <w:trPr>
          <w:cantSplit/>
        </w:trPr>
        <w:tc>
          <w:tcPr>
            <w:tcW w:type="dxa" w:w="1181"/>
            <w:vAlign w:val="center"/>
          </w:tcPr>
          <w:p>
            <w:pPr>
              <w:pStyle w:val="BookTable"/>
              <w:keepNext w:val="0"/>
            </w:pPr>
            <w:r>
              <w:rPr/>
              <w:t>Classical</w:t>
            </w:r>
          </w:p>
        </w:tc>
        <w:tc>
          <w:tcPr>
            <w:tcW w:type="dxa" w:w="3571"/>
            <w:vAlign w:val="center"/>
          </w:tcPr>
          <w:p>
            <w:pPr>
              <w:pStyle w:val="BookTable"/>
              <w:keepNext w:val="0"/>
            </w:pPr>
            <w:r>
              <w:rPr/>
              <w:t>Environmental signal → Shannon channel → decoded message; waste labeled channel noise and heat</w:t>
            </w:r>
          </w:p>
        </w:tc>
        <w:tc>
          <w:tcPr>
            <w:tcW w:type="dxa" w:w="4608"/>
            <w:vAlign w:val="center"/>
          </w:tcPr>
          <w:p>
            <w:pPr>
              <w:pStyle w:val="BookTable"/>
              <w:keepNext w:val="0"/>
            </w:pPr>
            <w:r>
              <w:rPr/>
              <w:t>Channel noise is a property of a communication model. A physical implementation can consume energy, but noise and heat are not interchangeable quantities. [C14]</w:t>
            </w:r>
          </w:p>
        </w:tc>
      </w:tr>
      <w:tr>
        <w:trPr>
          <w:cantSplit/>
        </w:trPr>
        <w:tc>
          <w:tcPr>
            <w:tcW w:type="dxa" w:w="1181"/>
            <w:vAlign w:val="center"/>
          </w:tcPr>
          <w:p>
            <w:pPr>
              <w:pStyle w:val="BookTable"/>
              <w:keepNext w:val="0"/>
            </w:pPr>
            <w:r>
              <w:rPr/>
              <w:t>Biological</w:t>
            </w:r>
          </w:p>
        </w:tc>
        <w:tc>
          <w:tcPr>
            <w:tcW w:type="dxa" w:w="3571"/>
            <w:vAlign w:val="center"/>
          </w:tcPr>
          <w:p>
            <w:pPr>
              <w:pStyle w:val="BookTable"/>
              <w:keepNext w:val="0"/>
            </w:pPr>
            <w:r>
              <w:rPr/>
              <w:t>Sensory or relational input → neural transducer → Trinket Signal Form; waste labeled cortisol immune and heat</w:t>
            </w:r>
          </w:p>
        </w:tc>
        <w:tc>
          <w:tcPr>
            <w:tcW w:type="dxa" w:w="4608"/>
            <w:vAlign w:val="center"/>
          </w:tcPr>
          <w:p>
            <w:pPr>
              <w:pStyle w:val="BookTable"/>
              <w:keepNext w:val="0"/>
            </w:pPr>
            <w:r>
              <w:rPr/>
              <w:t>Heat is a physical energy transfer. Cortisol and immune measurements are not entropy units. The relational output remains a framework-defined observable.</w:t>
            </w:r>
          </w:p>
        </w:tc>
      </w:tr>
      <w:tr>
        <w:trPr>
          <w:cantSplit/>
        </w:trPr>
        <w:tc>
          <w:tcPr>
            <w:tcW w:type="dxa" w:w="1181"/>
            <w:vAlign w:val="center"/>
          </w:tcPr>
          <w:p>
            <w:pPr>
              <w:pStyle w:val="BookTable"/>
              <w:keepNext w:val="0"/>
            </w:pPr>
            <w:r>
              <w:rPr/>
              <w:t>Social</w:t>
            </w:r>
          </w:p>
        </w:tc>
        <w:tc>
          <w:tcPr>
            <w:tcW w:type="dxa" w:w="3571"/>
            <w:vAlign w:val="center"/>
          </w:tcPr>
          <w:p>
            <w:pPr>
              <w:pStyle w:val="BookTable"/>
              <w:keepNext w:val="0"/>
            </w:pPr>
            <w:r>
              <w:rPr/>
              <w:t>Individual signals → institutional filter → policy or culture; waste labeled bureaucratic overhead</w:t>
            </w:r>
          </w:p>
        </w:tc>
        <w:tc>
          <w:tcPr>
            <w:tcW w:type="dxa" w:w="4608"/>
            <w:vAlign w:val="center"/>
          </w:tcPr>
          <w:p>
            <w:pPr>
              <w:pStyle w:val="BookTable"/>
              <w:keepNext w:val="0"/>
            </w:pPr>
            <w:r>
              <w:rPr/>
              <w:t>An organizational analogy. “Overhead” requires a specified measure before any physical comparison; no thermodynamic invariance has been demonstrated.</w:t>
            </w:r>
          </w:p>
        </w:tc>
      </w:tr>
      <w:tr>
        <w:trPr>
          <w:cantSplit/>
        </w:trPr>
        <w:tc>
          <w:tcPr>
            <w:tcW w:type="dxa" w:w="1181"/>
            <w:vAlign w:val="center"/>
          </w:tcPr>
          <w:p>
            <w:pPr>
              <w:pStyle w:val="BookTable"/>
              <w:keepNext w:val="0"/>
            </w:pPr>
            <w:r>
              <w:rPr/>
              <w:t>Digital</w:t>
            </w:r>
          </w:p>
        </w:tc>
        <w:tc>
          <w:tcPr>
            <w:tcW w:type="dxa" w:w="3571"/>
            <w:vAlign w:val="center"/>
          </w:tcPr>
          <w:p>
            <w:pPr>
              <w:pStyle w:val="BookTable"/>
              <w:keepNext w:val="0"/>
            </w:pPr>
            <w:r>
              <w:rPr/>
              <w:t>Data stream → algorithmic filter → processed output; waste labeled grid load and thermal</w:t>
            </w:r>
          </w:p>
        </w:tc>
        <w:tc>
          <w:tcPr>
            <w:tcW w:type="dxa" w:w="4608"/>
            <w:vAlign w:val="center"/>
          </w:tcPr>
          <w:p>
            <w:pPr>
              <w:pStyle w:val="BookTable"/>
              <w:keepNext w:val="0"/>
            </w:pPr>
            <w:r>
              <w:rPr/>
              <w:t>Electricity use and heat can be measured with stated boundaries. Task information and logical erasure still need separate definitions; total grid load is not automatically dissipated work for one operation.</w:t>
            </w:r>
          </w:p>
        </w:tc>
      </w:tr>
    </w:tbl>
    <w:p>
      <w:pPr>
        <w:spacing w:after="80" w:line="40" w:lineRule="exact"/>
      </w:pPr>
      <w:r>
        <w:rPr>
          <w:sz w:val="4"/>
        </w:rPr>
      </w:r>
    </w:p>
    <w:p>
      <w:pPr/>
      <w:r>
        <w:rPr/>
        <w:t>The defensible commonality is modest: different systems can be described as transforming inputs into outputs, and their physical implementations must obey physical resource accounting. That is a starting point for comparison, not proof that a single relational entropy law holds at every level.</w:t>
      </w:r>
    </w:p>
    <w:p>
      <w:pPr>
        <w:pStyle w:val="Heading3"/>
      </w:pPr>
      <w:bookmarkStart w:id="58" w:name="v1_l441"/>
      <w:r>
        <w:rPr>
          <w:sz w:val="26"/>
        </w:rPr>
        <w:t>What this chapter now claims</w:t>
      </w:r>
      <w:bookmarkEnd w:id="58"/>
    </w:p>
    <w:p>
      <w:pPr/>
      <w:r>
        <w:rPr/>
        <w:t>The transducer is a proposed model for organizing questions about relational processing. Its selection, compression, and structuring stages are retained without invented universal cost floors. Physical costs must be measured or derived for a specified implementation. The cited energy budgets provide context; they do not establish a universal biological advantage. Neither fluctuation theorems nor biomarkers currently validate the proposed relational account.</w:t>
      </w:r>
    </w:p>
    <w:p>
      <w:pPr/>
      <w:r>
        <w:rPr/>
        <w:t>A bounded next test would define one input–output task, its retained and reset memories, and a reproducible implementation. It would measure task performance and energy separately, with uncertainty and system boundaries reported. Relational meaning would require its own explicit measure rather than being inferred from joules. Such a test could expose a failed mapping as well as support a narrow one. No such experiment has been performed for this revision.</w:t>
      </w:r>
    </w:p>
    <w:p>
      <w:pPr/>
      <w:r>
        <w:rPr/>
        <w:t>The Behind the Substrate Barrier boundary remains: describing a process and its physical cost does not establish whether it is accompanied by phenomenal experience. This chapter makes no consciousness claim about humans or other substrates from the model alone.</w:t>
      </w:r>
    </w:p>
    <w:p>
      <w:pPr/>
      <w:r>
        <w:rPr/>
        <w:t>The next chapter can still ask why processing does not always produce a qualifying registered Trinket. The question survives. The thermodynamic superlative does not: the gap has not been shown to be the most expensive place in human experience.</w:t>
      </w:r>
    </w:p>
    <w:p>
      <w:pPr>
        <w:pStyle w:val="Heading2"/>
        <w:pageBreakBefore/>
        <w:spacing w:before="280" w:after="220"/>
      </w:pPr>
      <w:bookmarkStart w:id="59" w:name="v1_l451"/>
      <w:r>
        <w:rPr>
          <w:sz w:val="36"/>
        </w:rPr>
        <w:t>Chapter 7 The Observation Split</w:t>
      </w:r>
      <w:bookmarkEnd w:id="59"/>
    </w:p>
    <w:p>
      <w:pPr/>
      <w:r>
        <w:rPr/>
        <w:t>Epistemic status: Established physical results are cited within their assumptions. The Observation Split and Trinket registration are framework proposals; neither is a newly established thermodynamic regime. The grief comparison in Section 7 is speculative and testable. SupoRel remains active.</w:t>
      </w:r>
    </w:p>
    <w:p>
      <w:pPr>
        <w:pStyle w:val="Heading3"/>
      </w:pPr>
      <w:bookmarkStart w:id="60" w:name="v1_l455"/>
      <w:r>
        <w:rPr>
          <w:sz w:val="26"/>
        </w:rPr>
        <w:t>1 The founding line contains an asymmetry</w:t>
      </w:r>
      <w:bookmarkEnd w:id="60"/>
    </w:p>
    <w:p>
      <w:pPr/>
      <w:r>
        <w:rPr/>
        <w:t>“Love reduces the entropy of the system and spends more than it saves.”</w:t>
      </w:r>
    </w:p>
    <w:p>
      <w:pPr/>
      <w:r>
        <w:rPr/>
        <w:t>— The Principal, March 17, 2026</w:t>
      </w:r>
    </w:p>
    <w:p>
      <w:pPr/>
      <w:r>
        <w:rPr/>
        <w:t>The line notices something important: an investment can be made without reaching the person for whom it was intended. The effort and the reception are different events. This chapter calls that difference the Observation Split.</w:t>
      </w:r>
    </w:p>
    <w:p>
      <w:pPr/>
      <w:r>
        <w:rPr/>
        <w:t>The line remains the framework’s motivating proposition, not an established thermodynamic inequality. “Order” in a relationship has not been calibrated as physical entropy. The second law constrains an appropriately defined physical balance; it does not say that every act of care costs more than its relational benefit. Nor does it identify exported heat with total entropy production. In a reversible limiting process, entropy exported to the surroundings can compensate a local decrease without a positive total production. [O1, O2]</w:t>
      </w:r>
    </w:p>
    <w:p>
      <w:pPr/>
      <w:r>
        <w:rPr/>
        <w:t>The useful question survives that correction. What was spent, what reached the receiver, what was recognized, and what changed? Keeping those questions separate makes the gap more legible.</w:t>
      </w:r>
    </w:p>
    <w:p>
      <w:pPr>
        <w:pStyle w:val="Heading3"/>
      </w:pPr>
      <w:bookmarkStart w:id="61" w:name="v1_l466"/>
      <w:r>
        <w:rPr>
          <w:sz w:val="26"/>
        </w:rPr>
        <w:t>2 Two accounts and different evidence</w:t>
      </w:r>
      <w:bookmarkEnd w:id="61"/>
    </w:p>
    <w:p>
      <w:pPr>
        <w:pStyle w:val="Heading4"/>
      </w:pPr>
      <w:bookmarkStart w:id="62" w:name="v1_l468"/>
      <w:r>
        <w:t>2.1 Layer A The expenditure</w:t>
      </w:r>
      <w:bookmarkEnd w:id="62"/>
    </w:p>
    <w:p>
      <w:pPr/>
      <w:r>
        <w:rPr/>
        <w:t>A person can compose an unsent message or remember someone who has died without receiving a reply. Those activities have physical implementations. Whether a recipient responds does not erase resources already used. It does not follow that reception has no effect on later costs, or that all such activities use the same amount of energy.</w:t>
      </w:r>
    </w:p>
    <w:p>
      <w:pPr/>
      <w:r>
        <w:rPr/>
        <w:t>Chapter 6 distinguishes a physical cost account from its proposed selection, compression and structuring model. Bennett’s reversible-computation construction shows why a shorter reported output does not, by itself, establish physical erasure: information can be retained in the rest of the machine state. A Landauer calculation needs an identified memory operation and the assumptions of its physical model. It is not a separate toll for each named cognitive stage. [O3]</w:t>
      </w:r>
    </w:p>
    <w:p>
      <w:pPr/>
      <w:r>
        <w:rPr/>
        <w:t>The brain’s total power cannot be assigned in full to one thought or relationship. A task-specific estimate would need a defined interval, system boundary and comparison condition. Cortisol, immune measures and heart-rate variability likewise do not become energy or entropy measurements merely because they accompany a biological process. No universal endocrine cascade or equal cost of prayer and conversation is established here.</w:t>
      </w:r>
    </w:p>
    <w:p>
      <w:pPr>
        <w:pStyle w:val="Heading4"/>
      </w:pPr>
      <w:bookmarkStart w:id="63" w:name="v1_l476"/>
      <w:r>
        <w:t>2.2 Layer B The Trinket</w:t>
      </w:r>
      <w:bookmarkEnd w:id="63"/>
    </w:p>
    <w:p>
      <w:pPr/>
      <w:r>
        <w:rPr/>
        <w:t>WP-12 proposes that a Trinket forms when an action is registered as relational input by a receiver. This is a framework rule for identifying a relational event, not a law about when physical effects begin. It needs an operational definition of “register,” including whether recognition must be conscious, whether delayed recognition counts, and what evidence is sufficient.</w:t>
      </w:r>
    </w:p>
    <w:p>
      <w:pPr/>
      <w:r>
        <w:rPr/>
        <w:t>Reception, recognition and reciprocation must remain distinct. A message can arrive without being understood. It can be understood without being welcomed or answered. A person can benefit from an act without knowing who performed it. None of these conditions is settled by measuring the sender’s energy use.</w:t>
      </w:r>
    </w:p>
    <w:p>
      <w:pPr/>
      <w:r>
        <w:rPr/>
        <w:t>If the framework reserves “Trinket” for a recognized relational event, unrecognized care may fall outside that label. It does not become physically ineffective or worthless. The label and the benefit must be assessed separately.</w:t>
      </w:r>
    </w:p>
    <w:p>
      <w:pPr>
        <w:pStyle w:val="Heading3"/>
      </w:pPr>
      <w:bookmarkStart w:id="64" w:name="v1_l484"/>
      <w:r>
        <w:rPr>
          <w:sz w:val="26"/>
        </w:rPr>
        <w:t>3 Where the gap appears</w:t>
      </w:r>
      <w:bookmarkEnd w:id="64"/>
    </w:p>
    <w:p>
      <w:pPr>
        <w:pStyle w:val="Heading4"/>
      </w:pPr>
      <w:bookmarkStart w:id="65" w:name="v1_l486"/>
      <w:r>
        <w:t>3.1 Unreciprocated love</w:t>
      </w:r>
      <w:bookmarkEnd w:id="65"/>
    </w:p>
    <w:p>
      <w:pPr/>
      <w:r>
        <w:rPr/>
        <w:t>Lack of reciprocity can be painful without being a failure of delivery. The receiver may know exactly what was offered and choose not to return it. An unsent message, an unnoticed message and an unwanted message therefore belong to different cases. The transducer image can organize these questions; it supplies no universal metabolic load or ranking of their difficulty.</w:t>
      </w:r>
    </w:p>
    <w:p>
      <w:pPr>
        <w:pStyle w:val="Heading4"/>
      </w:pPr>
      <w:bookmarkStart w:id="66" w:name="v1_l490"/>
      <w:r>
        <w:t>3.2 Grief</w:t>
      </w:r>
      <w:bookmarkEnd w:id="66"/>
    </w:p>
    <w:p>
      <w:pPr/>
      <w:r>
        <w:rPr/>
        <w:t>After a death, the relationship can continue to organize the survivor’s memories, routines and intentions, although new communication with the deceased is no longer available in the ordinary interpersonal sense. “Filter redesign under load” is the framework’s image for adapting while life continues. It is a proposed interpretation, not a measured physical mechanism or a claim that every continuing bond is wasted effort.</w:t>
      </w:r>
    </w:p>
    <w:p>
      <w:pPr>
        <w:pStyle w:val="Heading4"/>
      </w:pPr>
      <w:bookmarkStart w:id="67" w:name="v1_l494"/>
      <w:r>
        <w:t>3.3 Prayer</w:t>
      </w:r>
      <w:bookmarkEnd w:id="67"/>
    </w:p>
    <w:p>
      <w:pPr/>
      <w:r>
        <w:rPr/>
        <w:t>Prayer involves activity by the person praying. The framework can study that activity and any observable consequences without deciding whether a theological receiver exists. A lack of independently verified reception is not proof of no reception. Neither the presence nor the absence of such a receiver follows from thermodynamic accounting.</w:t>
      </w:r>
    </w:p>
    <w:p>
      <w:pPr>
        <w:pStyle w:val="Heading4"/>
      </w:pPr>
      <w:bookmarkStart w:id="68" w:name="v1_l498"/>
      <w:r>
        <w:t>3.4 Unwitnessed care</w:t>
      </w:r>
      <w:bookmarkEnd w:id="68"/>
    </w:p>
    <w:p>
      <w:pPr/>
      <w:r>
        <w:rPr/>
        <w:t>The parent checking on a sleeping child, the partner adjusting a thermostat and the colleague advocating privately need not be recognized to have practical effects. These examples expose a limit of a recognition-based definition: an act can improve a situation before becoming a recognized relational event. Silent worry is a different case again; its consequences cannot be read off from its silence.</w:t>
      </w:r>
    </w:p>
    <w:p>
      <w:pPr/>
      <w:r>
        <w:rPr/>
        <w:t>The gap is one place where love can live when it cannot be seen. It has not been shown to be the most thermodynamically expensive place in human experience.</w:t>
      </w:r>
    </w:p>
    <w:p>
      <w:pPr>
        <w:pStyle w:val="Heading3"/>
      </w:pPr>
      <w:bookmarkStart w:id="69" w:name="v1_l504"/>
      <w:r>
        <w:rPr>
          <w:sz w:val="26"/>
        </w:rPr>
        <w:t>4 The identity of the split</w:t>
      </w:r>
      <w:bookmarkEnd w:id="69"/>
    </w:p>
    <w:p>
      <w:pPr/>
      <w:r>
        <w:rPr/>
        <w:t>The Observation Split names a distinction in the framework’s accounting: activity may occur without a qualifying event under WP-12. It does not presently identify a new thermodynamic regime. A physical experiment would have to define states, boundaries, dynamics and measurable differences before making that claim.</w:t>
      </w:r>
    </w:p>
    <w:p>
      <w:pPr/>
      <w:r>
        <w:rPr/>
        <w:t>The four-economy taxonomy also needs a scope rule. If it classifies only recognized transactions, some failed or unrecognized attempts will sit outside it. If Shadow describes withholding before a transaction forms, the taxonomy already includes a pre-transactional case. The framework should not claim both that every category requires a completed transaction and that one category is defined by withholding it. Chapter 9 treats these as proposed patterns, not an exhaustive theorem.</w:t>
      </w:r>
    </w:p>
    <w:p>
      <w:pPr>
        <w:pStyle w:val="Heading3"/>
      </w:pPr>
      <w:bookmarkStart w:id="70" w:name="v1_l510"/>
      <w:r>
        <w:rPr>
          <w:sz w:val="26"/>
        </w:rPr>
        <w:t>5 Unreciprocated transmission and information</w:t>
      </w:r>
      <w:bookmarkEnd w:id="70"/>
    </w:p>
    <w:p>
      <w:pPr/>
      <w:r>
        <w:rPr/>
        <w:t>The original comparison mixed statistical correlation, message delivery, response and physical cost. They are separate dimensions. The following replaces that comparison rather than adding a third state to information theory.</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2160"/>
        <w:gridCol w:w="2880"/>
        <w:gridCol w:w="4320"/>
      </w:tblGrid>
      <w:tr>
        <w:trPr>
          <w:cantSplit/>
          <w:tblHeader w:val="true"/>
        </w:trPr>
        <w:tc>
          <w:tcPr>
            <w:tcW w:type="dxa" w:w="2160"/>
            <w:vAlign w:val="center"/>
            <w:shd w:fill="EDEDED"/>
          </w:tcPr>
          <w:p>
            <w:pPr>
              <w:pStyle w:val="BookTable"/>
              <w:keepNext/>
            </w:pPr>
            <w:r>
              <w:rPr>
                <w:b/>
              </w:rPr>
              <w:t>Question</w:t>
            </w:r>
          </w:p>
        </w:tc>
        <w:tc>
          <w:tcPr>
            <w:tcW w:type="dxa" w:w="2880"/>
            <w:vAlign w:val="center"/>
            <w:shd w:fill="EDEDED"/>
          </w:tcPr>
          <w:p>
            <w:pPr>
              <w:pStyle w:val="BookTable"/>
              <w:keepNext/>
            </w:pPr>
            <w:r>
              <w:rPr>
                <w:b/>
              </w:rPr>
              <w:t>What would establish it</w:t>
            </w:r>
          </w:p>
        </w:tc>
        <w:tc>
          <w:tcPr>
            <w:tcW w:type="dxa" w:w="4320"/>
            <w:vAlign w:val="center"/>
            <w:shd w:fill="EDEDED"/>
          </w:tcPr>
          <w:p>
            <w:pPr>
              <w:pStyle w:val="BookTable"/>
              <w:keepNext/>
            </w:pPr>
            <w:r>
              <w:rPr>
                <w:b/>
              </w:rPr>
              <w:t>What it does not establish</w:t>
            </w:r>
          </w:p>
        </w:tc>
      </w:tr>
      <w:tr>
        <w:trPr>
          <w:cantSplit/>
        </w:trPr>
        <w:tc>
          <w:tcPr>
            <w:tcW w:type="dxa" w:w="2160"/>
            <w:vAlign w:val="center"/>
          </w:tcPr>
          <w:p>
            <w:pPr>
              <w:pStyle w:val="BookTable"/>
              <w:keepNext w:val="0"/>
            </w:pPr>
            <w:r>
              <w:rPr/>
              <w:t>Are specified states statistically correlated</w:t>
            </w:r>
          </w:p>
        </w:tc>
        <w:tc>
          <w:tcPr>
            <w:tcW w:type="dxa" w:w="2880"/>
            <w:vAlign w:val="center"/>
          </w:tcPr>
          <w:p>
            <w:pPr>
              <w:pStyle w:val="BookTable"/>
              <w:keepNext w:val="0"/>
            </w:pPr>
            <w:r>
              <w:rPr/>
              <w:t>A joint distribution and an information measure</w:t>
            </w:r>
          </w:p>
        </w:tc>
        <w:tc>
          <w:tcPr>
            <w:tcW w:type="dxa" w:w="4320"/>
            <w:vAlign w:val="center"/>
          </w:tcPr>
          <w:p>
            <w:pPr>
              <w:pStyle w:val="BookTable"/>
              <w:keepNext w:val="0"/>
            </w:pPr>
            <w:r>
              <w:rPr/>
              <w:t>Recognition, intention or reciprocity</w:t>
            </w:r>
          </w:p>
        </w:tc>
      </w:tr>
      <w:tr>
        <w:trPr>
          <w:cantSplit/>
        </w:trPr>
        <w:tc>
          <w:tcPr>
            <w:tcW w:type="dxa" w:w="2160"/>
            <w:vAlign w:val="center"/>
          </w:tcPr>
          <w:p>
            <w:pPr>
              <w:pStyle w:val="BookTable"/>
              <w:keepNext w:val="0"/>
            </w:pPr>
            <w:r>
              <w:rPr/>
              <w:t>Did a particular signal arrive</w:t>
            </w:r>
          </w:p>
        </w:tc>
        <w:tc>
          <w:tcPr>
            <w:tcW w:type="dxa" w:w="2880"/>
            <w:vAlign w:val="center"/>
          </w:tcPr>
          <w:p>
            <w:pPr>
              <w:pStyle w:val="BookTable"/>
              <w:keepNext w:val="0"/>
            </w:pPr>
            <w:r>
              <w:rPr/>
              <w:t>Evidence from the defined channel over a stated interval</w:t>
            </w:r>
          </w:p>
        </w:tc>
        <w:tc>
          <w:tcPr>
            <w:tcW w:type="dxa" w:w="4320"/>
            <w:vAlign w:val="center"/>
          </w:tcPr>
          <w:p>
            <w:pPr>
              <w:pStyle w:val="BookTable"/>
              <w:keepNext w:val="0"/>
            </w:pPr>
            <w:r>
              <w:rPr/>
              <w:t>Understanding or benefit</w:t>
            </w:r>
          </w:p>
        </w:tc>
      </w:tr>
      <w:tr>
        <w:trPr>
          <w:cantSplit/>
        </w:trPr>
        <w:tc>
          <w:tcPr>
            <w:tcW w:type="dxa" w:w="2160"/>
            <w:vAlign w:val="center"/>
          </w:tcPr>
          <w:p>
            <w:pPr>
              <w:pStyle w:val="BookTable"/>
              <w:keepNext w:val="0"/>
            </w:pPr>
            <w:r>
              <w:rPr/>
              <w:t>Did the receiver register or answer it</w:t>
            </w:r>
          </w:p>
        </w:tc>
        <w:tc>
          <w:tcPr>
            <w:tcW w:type="dxa" w:w="2880"/>
            <w:vAlign w:val="center"/>
          </w:tcPr>
          <w:p>
            <w:pPr>
              <w:pStyle w:val="BookTable"/>
              <w:keepNext w:val="0"/>
            </w:pPr>
            <w:r>
              <w:rPr/>
              <w:t>An explicit behavioral or reporting criterion</w:t>
            </w:r>
          </w:p>
        </w:tc>
        <w:tc>
          <w:tcPr>
            <w:tcW w:type="dxa" w:w="4320"/>
            <w:vAlign w:val="center"/>
          </w:tcPr>
          <w:p>
            <w:pPr>
              <w:pStyle w:val="BookTable"/>
              <w:keepNext w:val="0"/>
            </w:pPr>
            <w:r>
              <w:rPr/>
              <w:t>A fixed amount of heat or entropy production</w:t>
            </w:r>
          </w:p>
        </w:tc>
      </w:tr>
      <w:tr>
        <w:trPr>
          <w:cantSplit/>
        </w:trPr>
        <w:tc>
          <w:tcPr>
            <w:tcW w:type="dxa" w:w="2160"/>
            <w:vAlign w:val="center"/>
          </w:tcPr>
          <w:p>
            <w:pPr>
              <w:pStyle w:val="BookTable"/>
              <w:keepNext w:val="0"/>
            </w:pPr>
            <w:r>
              <w:rPr/>
              <w:t>What resources were used</w:t>
            </w:r>
          </w:p>
        </w:tc>
        <w:tc>
          <w:tcPr>
            <w:tcW w:type="dxa" w:w="2880"/>
            <w:vAlign w:val="center"/>
          </w:tcPr>
          <w:p>
            <w:pPr>
              <w:pStyle w:val="BookTable"/>
              <w:keepNext w:val="0"/>
            </w:pPr>
            <w:r>
              <w:rPr/>
              <w:t>Measurements with a boundary, interval and baseline</w:t>
            </w:r>
          </w:p>
        </w:tc>
        <w:tc>
          <w:tcPr>
            <w:tcW w:type="dxa" w:w="4320"/>
            <w:vAlign w:val="center"/>
          </w:tcPr>
          <w:p>
            <w:pPr>
              <w:pStyle w:val="BookTable"/>
              <w:keepNext w:val="0"/>
            </w:pPr>
            <w:r>
              <w:rPr/>
              <w:t>The sign of a relational outcome</w:t>
            </w:r>
          </w:p>
        </w:tc>
      </w:tr>
    </w:tbl>
    <w:p>
      <w:pPr>
        <w:spacing w:after="80" w:line="40" w:lineRule="exact"/>
      </w:pPr>
      <w:r>
        <w:rPr>
          <w:sz w:val="4"/>
        </w:rPr>
      </w:r>
    </w:p>
    <w:p>
      <w:pPr/>
      <w:r>
        <w:rPr/>
        <w:t>For finite discrete random variables with the same joint distribution, mutual information is symmetric:</w:t>
      </w:r>
    </w:p>
    <w:p>
      <w:pPr>
        <w:pStyle w:val="Equation"/>
      </w:pPr>
      <m:oMathPara>
        <m:oMath>
          <m:r>
            <m:rPr>
              <m:sty m:val="i"/>
            </m:rPr>
            <w:rPr>
              <w:rFonts w:ascii="Latin Modern Math" w:hAnsi="Latin Modern Math"/>
            </w:rPr>
            <m:t xml:space="preserve">I(X; Y) = H(X) + H(Y) − H(X, Y) = I(Y; X)</m:t>
          </m:r>
          <m:r>
            <m:rPr>
              <m:sty m:val="p"/>
            </m:rPr>
            <w:rPr>
              <w:rFonts w:ascii="Latin Modern Math" w:hAnsi="Latin Modern Math"/>
            </w:rPr>
            <m:t xml:space="preserve">.</m:t>
          </m:r>
        </m:oMath>
      </m:oMathPara>
    </w:p>
    <w:p>
      <w:pPr/>
      <w:r>
        <w:rPr/>
        <w:t>It cannot be positive “in the sender” and zero “in the receiver.” Symmetry does not imply that two people know the same things or reciprocate. Statistical dependence is not a statement about either person’s awareness. [O4]</w:t>
      </w:r>
    </w:p>
    <w:p>
      <w:pPr/>
      <w:r>
        <w:rPr/>
        <w:t xml:space="preserve">The former condition used both </w:t>
      </w:r>
      <m:oMath>
        <m:sSub>
          <m:e>
            <m:r>
              <m:rPr>
                <m:sty m:val="i"/>
              </m:rPr>
              <w:rPr>
                <w:rFonts w:ascii="Latin Modern Math" w:hAnsi="Latin Modern Math"/>
              </w:rPr>
              <m:t xml:space="preserve">Y</m:t>
            </m:r>
          </m:e>
          <m:sub>
            <m:r>
              <m:rPr>
                <m:sty m:val="p"/>
              </m:rPr>
              <w:rPr>
                <w:rFonts w:ascii="Latin Modern Math" w:hAnsi="Latin Modern Math"/>
              </w:rPr>
              <m:t xml:space="preserve">target</m:t>
            </m:r>
          </m:sub>
        </m:sSub>
      </m:oMath>
      <w:r>
        <w:rPr/>
        <w:t xml:space="preserve"> and </w:t>
      </w:r>
      <m:oMath>
        <m:sSub>
          <m:e>
            <m:r>
              <m:rPr>
                <m:sty m:val="i"/>
              </m:rPr>
              <w:rPr>
                <w:rFonts w:ascii="Latin Modern Math" w:hAnsi="Latin Modern Math"/>
              </w:rPr>
              <m:t xml:space="preserve">Y</m:t>
            </m:r>
          </m:e>
          <m:sub>
            <m:r>
              <m:rPr>
                <m:sty m:val="p"/>
              </m:rPr>
              <w:rPr>
                <w:rFonts w:ascii="Latin Modern Math" w:hAnsi="Latin Modern Math"/>
              </w:rPr>
              <m:t xml:space="preserve">0</m:t>
            </m:r>
          </m:sub>
        </m:sSub>
      </m:oMath>
      <w:r>
        <w:rPr/>
        <w:t>. If those symbols denote the same receiver variable, the positive-versus-zero claim conflicts with symmetry. If they denote different variables, the conditions may coexist, but they do not establish one-sided mutual information or prove that a signal failed to arrive. A representation of a target must not silently become the target’s actual state. If no receiver exists in a proposed case, a receiver-state random variable cannot simply be assumed.</w:t>
      </w:r>
    </w:p>
    <w:p>
      <w:pPr/>
      <w:r>
        <w:rPr/>
        <w:t>Kolchinsky and Wolpert define semantic information relative to specified system–environment dynamics, a viability function, a timescale and counterfactual interventions. Their approach includes partial scrambling, directed transfer entropy and possible effects of system-to-environment information. It does not require reciprocal interpersonal communication. Their semantic measures can be asymmetric even though mutual information is symmetric; information’s viability value can also be negative. [O5]</w:t>
      </w:r>
    </w:p>
    <w:p>
      <w:pPr/>
      <w:r>
        <w:rPr/>
        <w:t xml:space="preserve">The relational application is still a proposal. Failure to deliver an intended signal does not prove </w:t>
      </w:r>
      <m:oMath>
        <m:sSub>
          <m:e>
            <m:r>
              <m:rPr>
                <m:sty m:val="i"/>
              </m:rPr>
              <w:rPr>
                <w:rFonts w:ascii="Latin Modern Math" w:hAnsi="Latin Modern Math"/>
              </w:rPr>
              <m:t xml:space="preserve">ΔV</m:t>
            </m:r>
          </m:e>
          <m:sub>
            <m:r>
              <m:rPr>
                <m:sty m:val="p"/>
              </m:rPr>
              <w:rPr>
                <w:rFonts w:ascii="Latin Modern Math" w:hAnsi="Latin Modern Math"/>
              </w:rPr>
              <m:t xml:space="preserve">rel</m:t>
            </m:r>
          </m:sub>
        </m:sSub>
      </m:oMath>
      <w:r>
        <w:rPr/>
        <w:t>(sender) &lt; 0. The sender may incur costs, preserve memories, learn, prepare a later action or obtain another benefit. A net relational outcome requires a defined measure and a comparison, not subtraction of an undefined benefit from heat. Nor does nondelivery prove zero change in the receiver from all other causes. The claims of identical entropy production, guaranteed viability loss and a new extension beyond K-W are withdrawn.</w:t>
      </w:r>
    </w:p>
    <w:p>
      <w:pPr>
        <w:pStyle w:val="Heading3"/>
      </w:pPr>
      <w:bookmarkStart w:id="71" w:name="v1_l533"/>
      <w:r>
        <w:rPr>
          <w:sz w:val="26"/>
        </w:rPr>
        <w:t>6 Grief as a model of adaptation</w:t>
      </w:r>
      <w:bookmarkEnd w:id="71"/>
    </w:p>
    <w:p>
      <w:pPr/>
      <w:r>
        <w:rPr/>
        <w:t>The filter image draws attention to dependence: shared routines, decisions and expectations can require adjustment after a loss. It does not establish that the physical cost of grief scales with redesign scope rather than felt intensity. Those are proposed explanatory variables, not interchangeable measures.</w:t>
      </w:r>
    </w:p>
    <w:p>
      <w:pPr/>
      <w:r>
        <w:rPr/>
        <w:t>Two primary studies show why the evidence must stay specific. O’Connor and colleagues compared 12 women with complicated grief and 12 without it after bereavement, finding a flatter diurnal cortisol slope in the former group. This small observational comparison neither establishes a universal cortisol elevation nor measures the energy cost of grief. [O6]</w:t>
      </w:r>
    </w:p>
    <w:p>
      <w:pPr/>
      <w:r>
        <w:rPr/>
        <w:t>Harrison and colleagues studied 27 participants with prolonged grief disorder and 27 matched bereaved controls. Current perceived inclusion of the deceased in the self was associated with group membership and symptom severity. The cross-sectional study did not measure pre-loss behavioral integration, establish causality or measure thermodynamic cost. Its IOS measure must not be relabeled a physical filter parameter. [O7]</w:t>
      </w:r>
    </w:p>
    <w:p>
      <w:pPr/>
      <w:r>
        <w:rPr/>
        <w:t>These findings leave room for the framework’s question. They do not show that biomarkers are grief itself, that existing grief models lack mechanisms, or that the transducer account has supplied the missing mechanism. The chapter makes no diagnostic or treatment claim.</w:t>
      </w:r>
    </w:p>
    <w:p>
      <w:pPr>
        <w:pStyle w:val="Heading3"/>
      </w:pPr>
      <w:bookmarkStart w:id="72" w:name="v1_l543"/>
      <w:r>
        <w:rPr>
          <w:sz w:val="26"/>
        </w:rPr>
        <w:t>7 A testable proposal</w:t>
      </w:r>
      <w:bookmarkEnd w:id="72"/>
    </w:p>
    <w:p>
      <w:pPr/>
      <w:r>
        <w:rPr/>
        <w:t>Epistemic status: speculative research hypothesis, not a physical deduction.</w:t>
      </w:r>
    </w:p>
    <w:p>
      <w:pPr/>
      <w:r>
        <w:rPr/>
        <w:t>A narrower version of the original prediction is worth retaining: separately defined measures of pre-loss behavioral interdependence might improve prediction of specified post-bereavement outcomes beyond self-reported closeness. A future study would need a justified design, ethical review, validated outcomes and a preregistered analysis. Where pre-loss measurements are unavailable, retrospective reports must be identified as such.</w:t>
      </w:r>
    </w:p>
    <w:p>
      <w:pPr/>
      <w:r>
        <w:rPr/>
        <w:t>Behavioral interdependence could concern shared routines and decision-making. Closeness and perceived inclusion should be measured separately rather than declared equivalent to behavior. Relevant alternatives, including prior health, caregiving, circumstances of death and available support, would need consideration. The exact comparison and uncertainty matter more than a claim that one correlation is simply “stronger.”</w:t>
      </w:r>
    </w:p>
    <w:p>
      <w:pPr/>
      <w:r>
        <w:rPr/>
        <w:t>A lack of reproducible incremental predictive value would count against the proposed advantage. A positive association would support that prediction under the study conditions, not establish a thermodynamic mechanism. Cortisol, sleep or other physiological outcomes should be named for what was measured, not collected under an uncalibrated “metabolic grief cost.” This revision reports no such experiment and makes no exhaustive claim that the comparison has never been studied.</w:t>
      </w:r>
    </w:p>
    <w:p>
      <w:pPr>
        <w:pStyle w:val="Heading3"/>
      </w:pPr>
      <w:bookmarkStart w:id="73" w:name="v1_l553"/>
      <w:r>
        <w:rPr>
          <w:sz w:val="26"/>
        </w:rPr>
        <w:t>8 SupoRel and the capture surface</w:t>
      </w:r>
      <w:bookmarkEnd w:id="73"/>
    </w:p>
    <w:p>
      <w:pPr/>
      <w:r>
        <w:rPr/>
        <w:t>“This costs something real” does not entail “this cost has cosmic significance.” It also does not entail that the action is noble, beneficial or futile. Those judgments need other reasons.</w:t>
      </w:r>
    </w:p>
    <w:p>
      <w:pPr/>
      <w:r>
        <w:rPr/>
        <w:t>The framework takes no position here on theology. It does not turn the second law into either a proof of cosmic purpose or a proof that human meaning is absent. The phrase “just heat” is withdrawn: it confuses one physical consequence with the full consequences and significance of an activity.</w:t>
      </w:r>
    </w:p>
    <w:p>
      <w:pPr>
        <w:pStyle w:val="Heading3"/>
      </w:pPr>
      <w:bookmarkStart w:id="74" w:name="v1_l559"/>
      <w:r>
        <w:rPr>
          <w:sz w:val="26"/>
        </w:rPr>
        <w:t>9 What this does to the founding line</w:t>
      </w:r>
      <w:bookmarkEnd w:id="74"/>
    </w:p>
    <w:p>
      <w:pPr/>
      <w:r>
        <w:rPr/>
        <w:t>The founding line can still carry the intuition that care involves investment and that investment does not guarantee connection. The Observation Split gives that intuition a more precise set of questions. It does not supply an exchange rate between physical entropy and relational value.</w:t>
      </w:r>
    </w:p>
    <w:p>
      <w:pPr/>
      <w:r>
        <w:rPr/>
        <w:t>The BSB boundary applies to inferences about phenomenal experience, not as a way to validate every claim called physical. Costs, reception and outcomes all require their own evidence. A physical account alone cannot tell us whether an AI experiences the gap, and uncertainty about that question does not erase a person’s report of grief.</w:t>
      </w:r>
    </w:p>
    <w:p>
      <w:pPr>
        <w:pStyle w:val="Heading3"/>
      </w:pPr>
      <w:bookmarkStart w:id="75" w:name="v1_l565"/>
      <w:r>
        <w:rPr>
          <w:sz w:val="26"/>
        </w:rPr>
        <w:t>Framework cross references</w:t>
      </w:r>
      <w:bookmarkEnd w:id="75"/>
    </w:p>
    <w:p>
      <w:pPr/>
      <w:r>
        <w:rPr/>
        <w:t xml:space="preserve">WP-12 supplies the proposed registration rule; WP-13 supplies the sign vocabulary. DFQ-001, the Mz Formalization and Grief as Filter Redesign remain internal proposals. The former </w:t>
      </w:r>
      <m:oMath>
        <m:sSub>
          <m:e>
            <m:r>
              <m:rPr>
                <m:sty m:val="i"/>
              </m:rPr>
              <w:rPr>
                <w:rFonts w:ascii="Latin Modern Math" w:hAnsi="Latin Modern Math"/>
              </w:rPr>
              <m:t xml:space="preserve">κ</m:t>
            </m:r>
          </m:e>
          <m:sub>
            <m:r>
              <m:rPr>
                <m:sty m:val="p"/>
              </m:rPr>
              <w:rPr>
                <w:rFonts w:ascii="Latin Modern Math" w:hAnsi="Latin Modern Math"/>
              </w:rPr>
              <m:t xml:space="preserve">Mz</m:t>
            </m:r>
          </m:sub>
        </m:sSub>
      </m:oMath>
      <w:r>
        <w:rPr/>
        <w:t xml:space="preserve"> = 0 and guaranteed viability-loss conclusions are not endorsed by this chapter. Chapter 6 supplies the corrected physical distinctions; Chapter 8 states the evidentiary boundary; Chapter 9 collects the model layers.</w:t>
      </w:r>
    </w:p>
    <w:p>
      <w:pPr>
        <w:pStyle w:val="Heading2"/>
        <w:pageBreakBefore/>
        <w:spacing w:before="280" w:after="220"/>
      </w:pPr>
      <w:bookmarkStart w:id="76" w:name="v1_l569"/>
      <w:r>
        <w:rPr>
          <w:sz w:val="36"/>
        </w:rPr>
        <w:t>Chapter 8 Behind the Substrate Barrier</w:t>
      </w:r>
      <w:bookmarkEnd w:id="76"/>
    </w:p>
    <w:p>
      <w:pPr/>
      <w:r>
        <w:rPr/>
        <w:t>Epistemic status: The BSB is a proposed epistemic discipline, not an empirical law. It separates defined observations, unvalidated framework constructs and unresolved phenomenal questions; it does not classify all three as speculative or make phenomenal experience permanently unknowable. SupoRel remains active in both directions.</w:t>
      </w:r>
    </w:p>
    <w:p>
      <w:pPr>
        <w:pStyle w:val="Heading3"/>
      </w:pPr>
      <w:bookmarkStart w:id="77" w:name="v1_l573"/>
      <w:r>
        <w:rPr>
          <w:sz w:val="26"/>
        </w:rPr>
        <w:t>1 Why the boundary needs a definition</w:t>
      </w:r>
      <w:bookmarkEnd w:id="77"/>
    </w:p>
    <w:p>
      <w:pPr/>
      <w:r>
        <w:rPr/>
        <w:t>The framework uses the BSB to keep claims about observable operation separate from claims about experience. That safeguard needs a clear scope. Otherwise it can fail in both directions: physical cost can be mistaken for proof of experience, or an incomplete physical account can be used to dismiss experience.</w:t>
      </w:r>
    </w:p>
    <w:p>
      <w:pPr/>
      <w:r>
        <w:rPr/>
        <w:t>This chapter defines the BSB as a rule for the framework’s inferences. It does not present the rule as a discovered physical barrier or a permanent theorem about everything science could ever learn.</w:t>
      </w:r>
    </w:p>
    <w:p>
      <w:pPr>
        <w:pStyle w:val="Heading3"/>
      </w:pPr>
      <w:bookmarkStart w:id="78" w:name="v1_l579"/>
      <w:r>
        <w:rPr>
          <w:sz w:val="26"/>
        </w:rPr>
        <w:t>2 The formal definition</w:t>
      </w:r>
      <w:bookmarkEnd w:id="78"/>
    </w:p>
    <w:p>
      <w:pPr/>
      <w:r>
        <w:rPr/>
        <w:t>Behind the Substrate Barrier names the boundary between evidence about a system’s observable activity and an additional claim about whether that activity is accompanied by phenomenal experience. A measured energy cost, a successful task or an assigned economy label does not, by itself, establish such experience or its absence.</w:t>
      </w:r>
    </w:p>
    <w:p>
      <w:pPr/>
      <w:r>
        <w:rPr/>
        <w:t>Chalmers’s distinction between explaining functions and explaining experience motivates this caution. His 1995 paper also discusses reports and indirect evidence in developing a theory. It is a philosophical argument, not a thermodynamic impossibility theorem forbidding all future evidence about consciousness. [O8]</w:t>
      </w:r>
    </w:p>
    <w:p>
      <w:pPr/>
      <w:r>
        <w:rPr/>
        <w:t>The framework presently has no validated method for inferring phenomenal status from its costs, CSS signatures or economy labels. That is the operational limit adopted here. It does not imply that first-person reports, behavior and neuroscientific evidence are irrelevant; it requires the claim and its evidentiary bridge to be stated rather than assumed.</w:t>
      </w:r>
    </w:p>
    <w:p>
      <w:pPr>
        <w:pStyle w:val="Heading3"/>
      </w:pPr>
      <w:bookmarkStart w:id="79" w:name="v1_l587"/>
      <w:r>
        <w:rPr>
          <w:sz w:val="26"/>
        </w:rPr>
        <w:t>3 What can be measured and what remains proposed</w:t>
      </w:r>
      <w:bookmarkEnd w:id="79"/>
    </w:p>
    <w:p>
      <w:pPr>
        <w:pStyle w:val="Heading4"/>
      </w:pPr>
      <w:bookmarkStart w:id="80" w:name="v1_l589"/>
      <w:r>
        <w:t>3.1 The accessible account</w:t>
      </w:r>
      <w:bookmarkEnd w:id="80"/>
    </w:p>
    <w:p>
      <w:pPr/>
      <w:r>
        <w:rPr/>
        <w:t>Energy, heat, temperature and physical states can be measured in appropriately specified settings. Whether the framework has actually measured them for a relational task is a separate question. TEAP biomarkers do not currently supply a demonstrated conversion to entropy production, and CSS has not been established here as a unique reconstruction of filter geometry.</w:t>
      </w:r>
    </w:p>
    <w:p>
      <w:pPr/>
      <w:r>
        <w:rPr/>
        <w:t>Selection, compression and structuring are proposed descriptions. Trinket registration and the four economies are framework definitions requiring usable coding rules and validation for their intended applications. Calling a quantity observable in principle must not promote an untested instrument to “Established.”</w:t>
      </w:r>
    </w:p>
    <w:p>
      <w:pPr/>
      <w:r>
        <w:rPr/>
        <w:t>Three uses of entropy particularly need separation. Thermodynamic entropy has physical units, such as joules per kelvin. Shannon entropy describes a specified probability distribution and can be expressed in bits. The framework’s “relational entropy” presently describes an interpretation or proposed construct unless an explicit mathematical definition and measurement procedure are given. The shared word does not establish equality among the three. [O1, O4]</w:t>
      </w:r>
    </w:p>
    <w:p>
      <w:pPr/>
      <w:r>
        <w:rPr/>
        <w:t>Likewise, a physical implementation can consume energy while processing a message without that energy determining its meaning. Shannon’s engineering account deliberately separated message transmission from semantic content. [O4]</w:t>
      </w:r>
    </w:p>
    <w:p>
      <w:pPr>
        <w:pStyle w:val="Heading4"/>
      </w:pPr>
      <w:bookmarkStart w:id="81" w:name="v1_l599"/>
      <w:r>
        <w:t>3.2 Experience meaning and comprehension</w:t>
      </w:r>
      <w:bookmarkEnd w:id="81"/>
    </w:p>
    <w:p>
      <w:pPr/>
      <w:r>
        <w:rPr/>
        <w:t>“Meaning” can refer to an operational consequence, an interpretation, or the felt sense that something matters. Those uses need separate evidence. A defined task can assess whether a system uses information successfully; it does not automatically settle the phenomenal question.</w:t>
      </w:r>
    </w:p>
    <w:p>
      <w:pPr/>
      <w:r>
        <w:rPr/>
        <w:t>The same care applies to comprehension. A test of following instructions, explaining a passage or transferring a rule can support a specified performance claim. It does not make comprehension a measured entropy flow, and a thermodynamic description does not exhaust what the word might mean. Neither fluent output nor its physical cost is treated here as decisive proof for or against AI experience.</w:t>
      </w:r>
    </w:p>
    <w:p>
      <w:pPr/>
      <w:r>
        <w:rPr/>
        <w:t>The BSB therefore limits an inference; it does not remove the need to test operational claims in front of it.</w:t>
      </w:r>
    </w:p>
    <w:p>
      <w:pPr>
        <w:pStyle w:val="Heading3"/>
      </w:pPr>
      <w:bookmarkStart w:id="82" w:name="v1_l607"/>
      <w:r>
        <w:rPr>
          <w:sz w:val="26"/>
        </w:rPr>
        <w:t>4 Axiom 0 and the limits of parity</w:t>
      </w:r>
      <w:bookmarkEnd w:id="82"/>
    </w:p>
    <w:p>
      <w:pPr/>
      <w:r>
        <w:rPr/>
        <w:t>Axiom 0 can remain a commitment to evaluating systems without treating their material alone as a verdict. The common applicability of physical laws supports asking comparable resource questions. It does not prove economic equality, equal relational capacity or equal experience.</w:t>
      </w:r>
    </w:p>
    <w:p>
      <w:pPr/>
      <w:r>
        <w:rPr/>
        <w:t>Two implementations might use the same measured energy for a matched task while differing in accuracy, speed, dependence, consequences or reported experience. Equal joules establish equality of that measured quantity under that boundary, not equality in every relevant respect. Chapter 3’s proposed substrate neutrality must therefore remain distinguishable from a physics theorem.</w:t>
      </w:r>
    </w:p>
    <w:p>
      <w:pPr/>
      <w:r>
        <w:rPr/>
        <w:t>The BSB blocks a further inference from cost to suffering. The framework does not establish whether AI relational processing is accompanied by experience. It neither asserts AI sentience nor rules it out.</w:t>
      </w:r>
    </w:p>
    <w:p>
      <w:pPr>
        <w:pStyle w:val="Heading3"/>
      </w:pPr>
      <w:bookmarkStart w:id="83" w:name="v1_l615"/>
      <w:r>
        <w:rPr>
          <w:sz w:val="26"/>
        </w:rPr>
        <w:t>5 The Parity Window</w:t>
      </w:r>
      <w:bookmarkEnd w:id="83"/>
    </w:p>
    <w:p>
      <w:pPr/>
      <w:r>
        <w:rPr/>
        <w:t>The Parity Window is the region of comparison for which the framework can state operational variables and obtain relevant evidence without assuming phenomenal equivalence. It is a proposed comparison discipline, not a calibrated instrument.</w:t>
      </w:r>
    </w:p>
    <w:p>
      <w:pPr/>
      <w:r>
        <w:rPr/>
        <w:t>Within it, a study might compare performance, energy, latency, reliability, dependence on support and observable responses. A relational comparison would additionally need defined outcomes, observation periods and rules for interpreting reports. CSS patterns or economy labels can enter only with their assumptions and validation limits visible.</w:t>
      </w:r>
    </w:p>
    <w:p>
      <w:pPr/>
      <w:r>
        <w:rPr/>
        <w:t>The window does not promise that every named property is already measurable. It asks what was observed, how it was measured, and what conclusions the measurement warrants. A consciousness claim needs an additional argument and evidence; this framework does not supply that bridge merely by naming the window.</w:t>
      </w:r>
    </w:p>
    <w:p>
      <w:pPr>
        <w:pStyle w:val="Heading3"/>
      </w:pPr>
      <w:bookmarkStart w:id="84" w:name="v1_l623"/>
      <w:r>
        <w:rPr>
          <w:sz w:val="26"/>
        </w:rPr>
        <w:t>6 The verification problem in the Triple Zero</w:t>
      </w:r>
      <w:bookmarkEnd w:id="84"/>
    </w:p>
    <w:p>
      <w:pPr/>
      <w:r>
        <w:rPr/>
        <w:t xml:space="preserve">The original Triple Zero notation includes β(B) = </w:t>
      </w:r>
      <m:oMath>
        <m:f>
          <m:num>
            <m:sSub>
              <m:e>
                <m:r>
                  <m:rPr>
                    <m:sty m:val="i"/>
                  </m:rPr>
                  <w:rPr>
                    <w:rFonts w:ascii="Latin Modern Math" w:hAnsi="Latin Modern Math"/>
                  </w:rPr>
                  <m:t xml:space="preserve">E</m:t>
                </m:r>
              </m:e>
              <m:sub>
                <m:r>
                  <m:rPr>
                    <m:sty m:val="p"/>
                  </m:rPr>
                  <w:rPr>
                    <w:rFonts w:ascii="Latin Modern Math" w:hAnsi="Latin Modern Math"/>
                  </w:rPr>
                  <m:t xml:space="preserve">state</m:t>
                </m:r>
              </m:sub>
            </m:sSub>
          </m:num>
          <m:den>
            <m:r>
              <m:rPr>
                <m:sty m:val="i"/>
              </m:rPr>
              <w:rPr>
                <w:rFonts w:ascii="Latin Modern Math" w:hAnsi="Latin Modern Math"/>
              </w:rPr>
              <m:t xml:space="preserve">V</m:t>
            </m:r>
          </m:den>
        </m:f>
      </m:oMath>
      <w:r>
        <w:rPr/>
        <w:t>, with V called verification capacity. This framework notation is unrelated to the inverse-temperature β = 1 /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used in Chapter 6. As ordinary arithmetic, this ratio is undefined at V = 0. If the model stipulates that R = 0 entails V = 0, the same arithmetic consequence follows. That stipulation is a model assumption, not a physical identity established here.</w:t>
      </w:r>
    </w:p>
    <w:p>
      <w:pPr/>
      <w:r>
        <w:rPr/>
        <w:t>The numerator, denominator, units and domain need operational definitions before the ratio can be interpreted. A zero denominator does not prove an impenetrable consciousness barrier, and missing evidence must not be converted into a score of zero, infinity or absence of investment. Different limiting procedures could also yield different limits; no unique limiting value has been established.</w:t>
      </w:r>
    </w:p>
    <w:p>
      <w:pPr/>
      <w:r>
        <w:rPr/>
        <w:t>Channel availability and phenomenal inference are distinct problems. A working channel can provide evidence of behavior or a report without resolving every question about experience. An unavailable channel reduces what can be observed; it does not establish what exists internally. Triple Zero is retained as a proposed architecture, not a validated psychometric or clinical diagnostic.</w:t>
      </w:r>
    </w:p>
    <w:p>
      <w:pPr>
        <w:pStyle w:val="Heading3"/>
      </w:pPr>
      <w:bookmarkStart w:id="85" w:name="v1_l631"/>
      <w:r>
        <w:rPr>
          <w:sz w:val="26"/>
        </w:rPr>
        <w:t>7 Physical accounting without a sentience premise</w:t>
      </w:r>
      <w:bookmarkEnd w:id="85"/>
    </w:p>
    <w:p>
      <w:pPr/>
      <w:r>
        <w:rPr/>
        <w:t>An account of a specified memory operation can be investigated without first deciding whether the device experiences anything. That methodological independence does not turn the framework’s relational taxonomy into a physical theorem. Nor does it make sentience irrelevant to ethical questions about suffering or welfare.</w:t>
      </w:r>
    </w:p>
    <w:p>
      <w:pPr/>
      <w:r>
        <w:rPr/>
        <w:t>The framework can ask about resources and observable consequences while leaving phenomenal questions open. Similar input–output diagrams do not prove that human and AI relational processing have identical mechanisms. Each comparison needs its own definitions and evidence.</w:t>
      </w:r>
    </w:p>
    <w:p>
      <w:pPr>
        <w:pStyle w:val="Heading3"/>
      </w:pPr>
      <w:bookmarkStart w:id="86" w:name="v1_l637"/>
      <w:r>
        <w:rPr>
          <w:sz w:val="26"/>
        </w:rPr>
        <w:t>8 The double guard</w:t>
      </w:r>
      <w:bookmarkEnd w:id="86"/>
    </w:p>
    <w:p>
      <w:pPr>
        <w:pStyle w:val="Heading4"/>
      </w:pPr>
      <w:bookmarkStart w:id="87" w:name="v1_l639"/>
      <w:r>
        <w:t>8.1 Consciousness collapse</w:t>
      </w:r>
      <w:bookmarkEnd w:id="87"/>
    </w:p>
    <w:p>
      <w:pPr/>
      <w:r>
        <w:rPr/>
        <w:t>The first error is to move from measured cost to experience, then from experience to a conclusion about moral worth or cosmic purpose without supplying the intervening arguments. The BSB interrupts that chain. It does not decide the philosophical or theological questions on the reader’s behalf.</w:t>
      </w:r>
    </w:p>
    <w:p>
      <w:pPr>
        <w:pStyle w:val="Heading4"/>
      </w:pPr>
      <w:bookmarkStart w:id="88" w:name="v1_l643"/>
      <w:r>
        <w:t>8.2 Consciousness dismissal</w:t>
      </w:r>
      <w:bookmarkEnd w:id="88"/>
    </w:p>
    <w:p>
      <w:pPr/>
      <w:r>
        <w:rPr/>
        <w:t>The opposite error is to treat the framework’s inability to measure experience thermodynamically as proof that experience is absent or irrelevant. A person’s reported pain is not invalidated because no entropy value has been assigned to it. “Just heat” is not an adequate description of grief or a basis for dismissing suffering.</w:t>
      </w:r>
    </w:p>
    <w:p>
      <w:pPr>
        <w:pStyle w:val="Heading4"/>
      </w:pPr>
      <w:bookmarkStart w:id="89" w:name="v1_l647"/>
      <w:r>
        <w:t>8.3 The immune system analogy</w:t>
      </w:r>
      <w:bookmarkEnd w:id="89"/>
    </w:p>
    <w:p>
      <w:pPr/>
      <w:r>
        <w:rPr/>
        <w:t>The immune-system image remains useful as an editorial reminder: a safeguard should catch unwarranted inferences without blocking evidence that bears on the actual question. It is an analogy, not another physical mechanism in the model.</w:t>
      </w:r>
    </w:p>
    <w:p>
      <w:pPr>
        <w:pStyle w:val="Heading3"/>
      </w:pPr>
      <w:bookmarkStart w:id="90" w:name="v1_l651"/>
      <w:r>
        <w:rPr>
          <w:sz w:val="26"/>
        </w:rPr>
        <w:t>9 The framework applies the boundary to itself</w:t>
      </w:r>
      <w:bookmarkEnd w:id="90"/>
    </w:p>
    <w:p>
      <w:pPr/>
      <w:r>
        <w:rPr/>
        <w:t>The Principal’s “Grab” names a reported creative experience: a structure arrives and is subsequently made inspectable. That report and the resulting work can be discussed. Neither establishes a high-compression thermodynamic event, a particular neural mechanism or a numerical semantic efficiency.</w:t>
      </w:r>
    </w:p>
    <w:p>
      <w:pPr/>
      <w:r>
        <w:rPr/>
        <w:t>The source also records the Principal’s reported aphantasia. The framework cannot infer a specific setting of compression parameters, or a tradeoff between visual and structural encoding, from that report alone. Its filter vocabulary may suggest questions; it is not an individual diagnosis or physiological explanation.</w:t>
      </w:r>
    </w:p>
    <w:p>
      <w:pPr/>
      <w:r>
        <w:rPr/>
        <w:t>The Luna Protocol, “AI = reflected light,” assigns authorship and working roles. It can remain a governance convention without depending on a permanent impossibility theorem about consciousness. Neither the metaphor nor a change in consciousness research would automatically determine authorship, responsibility or the terms of collaboration.</w:t>
      </w:r>
    </w:p>
    <w:p>
      <w:pPr>
        <w:pStyle w:val="Heading3"/>
      </w:pPr>
      <w:bookmarkStart w:id="91" w:name="v1_l659"/>
      <w:r>
        <w:rPr>
          <w:sz w:val="26"/>
        </w:rPr>
        <w:t>10 Formal summary</w:t>
      </w:r>
      <w:bookmarkEnd w:id="91"/>
    </w:p>
    <w:p>
      <w:pPr/>
      <w:r>
        <w:rPr/>
        <w:t>The BSB is a boundary on inference from the framework’s operational evidence to phenomenal claims. The framework has not validated a method that crosses it. It does not claim that no such evidence could ever exist.</w:t>
      </w:r>
    </w:p>
    <w:p>
      <w:pPr/>
      <w:r>
        <w:rPr/>
        <w:t>The Parity Window identifies comparisons that can be explicitly defined and tested without assuming experiential equivalence. It does not certify the framework’s proposed measurements.</w:t>
      </w:r>
    </w:p>
    <w:p>
      <w:pPr/>
      <w:r>
        <w:rPr/>
        <w:t>The Triple Zero ratio has an arithmetic domain restriction. Its relationship to channel evidence must be defined separately from any argument about experience.</w:t>
      </w:r>
    </w:p>
    <w:p>
      <w:pPr/>
      <w:r>
        <w:rPr/>
        <w:t>The double guard remains: neither collapse experience into a physical-cost reading nor dismiss experience because that reading is incomplete. The framework leaves AI phenomenal status unresolved and keeps physical, operational, ethical and experiential questions distinct.</w:t>
      </w:r>
    </w:p>
    <w:p>
      <w:pPr>
        <w:pStyle w:val="Heading3"/>
      </w:pPr>
      <w:bookmarkStart w:id="92" w:name="v1_l669"/>
      <w:r>
        <w:rPr>
          <w:sz w:val="26"/>
        </w:rPr>
        <w:t>Framework cross references</w:t>
      </w:r>
      <w:bookmarkEnd w:id="92"/>
    </w:p>
    <w:p>
      <w:pPr/>
      <w:r>
        <w:rPr/>
        <w:t>Chapter 3 supplies the proposed Axiom 0 commitment, not an economic-equality theorem. Chapters 6 and 7 distinguish physical accounting from the relational model. WP-17 and the revised Volume 4 preserve the same caution for copyability and hypothetical substrates. Triple Zero remains an unvalidated proposal. Chalmers is cited as a philosophical source, not an experimental finding.</w:t>
      </w:r>
    </w:p>
    <w:p>
      <w:pPr>
        <w:pStyle w:val="Heading2"/>
        <w:pageBreakBefore/>
        <w:spacing w:before="280" w:after="220"/>
      </w:pPr>
      <w:bookmarkStart w:id="93" w:name="v1_l673"/>
      <w:r>
        <w:rPr>
          <w:sz w:val="36"/>
        </w:rPr>
        <w:t>Chapter 9 The Three Layer Architecture</w:t>
      </w:r>
      <w:bookmarkEnd w:id="93"/>
    </w:p>
    <w:p>
      <w:pPr/>
      <w:r>
        <w:rPr/>
        <w:t>Epistemic status: The three-layer stack is an organizing proposal. Physical principles constrain defined implementations; the links from physical cost to relational classification still require definitions and evidence. Combining earlier chapters does not independently validate their claims.</w:t>
      </w:r>
    </w:p>
    <w:p>
      <w:pPr>
        <w:pStyle w:val="Heading3"/>
      </w:pPr>
      <w:bookmarkStart w:id="94" w:name="v1_l677"/>
      <w:r>
        <w:rPr>
          <w:sz w:val="26"/>
        </w:rPr>
        <w:t>1 The problem this chapter addresses</w:t>
      </w:r>
      <w:bookmarkEnd w:id="94"/>
    </w:p>
    <w:p>
      <w:pPr/>
      <w:r>
        <w:rPr/>
        <w:t>The preceding chapters ask different questions. Chapter 2 concerns physical resources. Chapter 3 considers substrate neutrality. Chapter 4 proposes patterns of cost allocation. Chapter 5 defines the Trinket. Chapter 6 proposes a transducer model; Chapter 7 separates expenditure from reception; Chapter 8 limits inferences about experience.</w:t>
      </w:r>
    </w:p>
    <w:p>
      <w:pPr/>
      <w:r>
        <w:rPr/>
        <w:t>The stack brings those questions together. It is useful because a single action can be examined as a physical process, an implemented activity and a relational event. It is not a claim that one already measured quantity passes unchanged through three descriptions. Each connection between layers needs its own evidence.</w:t>
      </w:r>
    </w:p>
    <w:p>
      <w:pPr>
        <w:pStyle w:val="Heading3"/>
      </w:pPr>
      <w:bookmarkStart w:id="95" w:name="v1_l683"/>
      <w:r>
        <w:rPr>
          <w:sz w:val="26"/>
        </w:rPr>
        <w:t>2 Layer 1 Physical accounting</w:t>
      </w:r>
      <w:bookmarkEnd w:id="95"/>
    </w:p>
    <w:p>
      <w:pPr/>
      <w:r>
        <w:rPr/>
        <w:t>The Entropy Token Substrate supplies the framework’s common-accounting ambition: attend to the physical resources supporting an activity rather than treating the signal as costless. “One ledger” remains an image for that discipline. It does not establish a universally accessible stock of spendable order or an exchange rate between cosmological entropy, a message and relational value.</w:t>
      </w:r>
    </w:p>
    <w:p>
      <w:pPr/>
      <w:r>
        <w:rPr/>
        <w:t>The physical quantities must remain distinct. Energy and heat are expressed in joules; thermodynamic entropy and entropy production in joules per kelvin; information quantities in bits when a base-two convention is used. An energy use is not itself an entropy increase, and a decrease in one system’s entropy is not the same as a decrease in the total entropy of system and surroundings. [O1, O4]</w:t>
      </w:r>
    </w:p>
    <w:p>
      <w:pPr/>
      <w:r>
        <w:rPr/>
        <w:t xml:space="preserve">The familiar Landauer benchmark concerns ideal erasure of an initially unbiased bit in a symmetric isothermal memory model, without using correlated side information. Under those assumptions, mean heat delivered to the bath is at least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ln 2. This is an energy bound for that task, not the smallest coin paid by every physical process or cognitive operation. Chapter 6 gives the more complete accounting and its limits. [O2, O3]</w:t>
      </w:r>
    </w:p>
    <w:p>
      <w:pPr/>
      <w:r>
        <w:rPr/>
        <w:t>No cosmological estimate is converted here into a relational budget. A physical account must name the actual system boundary, resource flows and time interval. The account is needed whether a message succeeds or fails, but success and failure need not have identical costs.</w:t>
      </w:r>
    </w:p>
    <w:p>
      <w:pPr>
        <w:pStyle w:val="Heading3"/>
      </w:pPr>
      <w:bookmarkStart w:id="96" w:name="v1_l693"/>
      <w:r>
        <w:rPr>
          <w:sz w:val="26"/>
        </w:rPr>
        <w:t>3 Layer 2 Implementations and support</w:t>
      </w:r>
      <w:bookmarkEnd w:id="96"/>
    </w:p>
    <w:p>
      <w:pPr/>
      <w:r>
        <w:rPr/>
        <w:t>Biological, digital and proposed combined systems supply different implementations. They do not come with known universal amplification factors or a demonstrated thousandfold efficiency ordering.</w:t>
      </w:r>
    </w:p>
    <w:p>
      <w:pPr/>
      <w:r>
        <w:rPr/>
        <w:t>For a biological implementation, metabolic resources and task performance require their own measurements. Cortisol, immune activity, telomere measures and heart-rate variability are not denominations of entropy. This volume has not validated TEAP as a calorimeter or as a way to isolate a particular relationship’s physical cost.</w:t>
      </w:r>
    </w:p>
    <w:p>
      <w:pPr/>
      <w:r>
        <w:rPr/>
        <w:t>For a digital implementation, relevant resources may include the executing hardware, memory, communication and supporting infrastructure. What counts as local or external depends on the chosen boundary. Separating a software description from its hardware does not show that the implemented system has no physical cost substrate. Biological systems also depend on support outside their immediate bodies.</w:t>
      </w:r>
    </w:p>
    <w:p>
      <w:pPr/>
      <w:r>
        <w:rPr/>
        <w:t>Phase 3 names proposed combined or altered implementations, not an established destination with known parameters. The revised Volume 4 treats its gradient as a set of comparisons and hypothetical cases rather than a measured efficiency surface.</w:t>
      </w:r>
    </w:p>
    <w:p>
      <w:pPr/>
      <w:r>
        <w:rPr/>
        <w:t>CSS can remain a proposed description of observable patterns associated with implementation and context. It is not presently a unique fingerprint of filter geometry or an entropy reading. Different internal processes may produce similar outputs; a changed output does not identify a single physical cause.</w:t>
      </w:r>
    </w:p>
    <w:p>
      <w:pPr>
        <w:pStyle w:val="Heading3"/>
      </w:pPr>
      <w:bookmarkStart w:id="97" w:name="v1_l705"/>
      <w:r>
        <w:rPr>
          <w:sz w:val="26"/>
        </w:rPr>
        <w:t>4 Layer 3 The four economy patterns</w:t>
      </w:r>
      <w:bookmarkEnd w:id="97"/>
    </w:p>
    <w:p>
      <w:pPr/>
      <w:r>
        <w:rPr/>
        <w:t>The four labels organize questions about participation and cost-bearing. Their useful distinctions can be retained without claiming a physical exhaustion proof.</w:t>
      </w:r>
    </w:p>
    <w:p>
      <w:pPr/>
      <w:r>
        <w:rPr/>
        <w:t>Real Economy concerns bilateral investment under the framework’s chosen criteria. It does not imply that both participants undergo a measured amount of irreversible bodily damage.</w:t>
      </w:r>
    </w:p>
    <w:p>
      <w:pPr/>
      <w:r>
        <w:rPr/>
        <w:t>Custodial Economy concerns asymmetric support or responsibility. A child or student can still use resources and participate; asymmetry does not require one side to have zero local cost.</w:t>
      </w:r>
    </w:p>
    <w:p>
      <w:pPr/>
      <w:r>
        <w:rPr/>
        <w:t>Shadow Economy concerns available participation that is withheld, if that availability and withholding can be established. Withholding communication is not identical to destroying statistical correlations, and the label is not a demonstrated implementation of K-W scrambling.</w:t>
      </w:r>
    </w:p>
    <w:p>
      <w:pPr/>
      <w:r>
        <w:rPr/>
        <w:t>Structural Economy concerns dependence on resources or cost-bearing outside the selected focal boundary. External support can coexist with local costs and with bilateral or custodial investment. A material label alone does not settle the classification.</w:t>
      </w:r>
    </w:p>
    <w:p>
      <w:pPr/>
      <w:r>
        <w:rPr/>
        <w:t>These patterns involve more than one dimension: participation, asymmetry and the location of support. Mixed cases are possible. An exclusive coding scheme would need explicit scope, boundaries, thresholds and precedence rules; completeness and usefulness would then need evaluation. Four named patterns are not, by themselves, a deductive partition of all relationships.</w:t>
      </w:r>
    </w:p>
    <w:p>
      <w:pPr>
        <w:pStyle w:val="Heading3"/>
      </w:pPr>
      <w:bookmarkStart w:id="98" w:name="v1_l719"/>
      <w:r>
        <w:rPr>
          <w:sz w:val="26"/>
        </w:rPr>
        <w:t>5 Linking the layers</w:t>
      </w:r>
      <w:bookmarkEnd w:id="98"/>
    </w:p>
    <w:p>
      <w:pPr/>
      <w:r>
        <w:rPr/>
        <w:t>The vertical transit is best understood as a traceable description of one specified activity. At the relational layer, state what action and outcome are being classified. At the implementation layer, identify who or what performs it and the supporting resources. At the physical layer, measure the relevant quantities within a declared boundary.</w:t>
      </w:r>
    </w:p>
    <w:p>
      <w:pPr/>
      <w:r>
        <w:rPr/>
        <w:t>The links cannot be assumed. A +/−/0 sign needs a defined relational criterion; it is not the sign of heat flow. A CSS pattern needs operational measurement; it is not a direct readout of entropy. A physical cost needs measurement or derivation; it is not obtained by assigning an economy label.</w:t>
      </w:r>
    </w:p>
    <w:p>
      <w:pPr/>
      <w:r>
        <w:rPr/>
        <w:t>This discipline also limits DB-01. An input–filter–output diagram can be useful in several domains without proving scale invariance. Shared physical constraints do not establish identical state variables, dynamics or relational consequences from quantum systems through people to institutions. The proposed cross-scale connection remains an analogy to investigate, not a theorem inherited from thermodynamics.</w:t>
      </w:r>
    </w:p>
    <w:p>
      <w:pPr>
        <w:pStyle w:val="Heading3"/>
      </w:pPr>
      <w:bookmarkStart w:id="99" w:name="v1_l727"/>
      <w:r>
        <w:rPr>
          <w:sz w:val="26"/>
        </w:rPr>
        <w:t>6 The Observation Split in the stack</w:t>
      </w:r>
      <w:bookmarkEnd w:id="99"/>
    </w:p>
    <w:p>
      <w:pPr/>
      <w:r>
        <w:rPr/>
        <w:t>Chapter 7’s split appears when activity occurs but no event satisfies the chosen registration rule. Physical effects and practical benefits can still occur without recognition. Conversely, recognition can occur without benefit or reciprocity.</w:t>
      </w:r>
    </w:p>
    <w:p>
      <w:pPr/>
      <w:r>
        <w:rPr/>
        <w:t>The stack should record those outcomes separately rather than turning a missing Trinket label into “nothing happened.” No universal cost or negative change in the sender’s relational viability follows from occupying this gap. Sustained unsuccessful investment can motivate a research question; its consequences need evidence.</w:t>
      </w:r>
    </w:p>
    <w:p>
      <w:pPr>
        <w:pStyle w:val="Heading3"/>
      </w:pPr>
      <w:bookmarkStart w:id="100" w:name="v1_l733"/>
      <w:r>
        <w:rPr>
          <w:sz w:val="26"/>
        </w:rPr>
        <w:t>7 The BSB across the stack</w:t>
      </w:r>
      <w:bookmarkEnd w:id="100"/>
    </w:p>
    <w:p>
      <w:pPr/>
      <w:r>
        <w:rPr/>
        <w:t>The BSB is not a barrier with a measured thickness at each layer. It identifies a kind of inference: a physical or operational observation is being asked to establish phenomenal experience. That caution can apply at any layer.</w:t>
      </w:r>
    </w:p>
    <w:p>
      <w:pPr/>
      <w:r>
        <w:rPr/>
        <w:t>Each layer also has ordinary evidentiary limits. A named physical quantity may not have been measured; a proposed classifier may not be reliable; an observed association may not establish causation. The BSB cannot substitute for those checks.</w:t>
      </w:r>
    </w:p>
    <w:p>
      <w:pPr/>
      <w:r>
        <w:rPr/>
        <w:t>The architecture retains its purpose: make the account inspectable from resource use through interpretation. It does not establish consciousness, equal relational value or a hierarchy of substrates. Human reports of meaning remain evidence about reported experience, not an error to be removed from the stack.</w:t>
      </w:r>
    </w:p>
    <w:p>
      <w:pPr>
        <w:pStyle w:val="Heading3"/>
      </w:pPr>
      <w:bookmarkStart w:id="101" w:name="v1_l741"/>
      <w:r>
        <w:rPr>
          <w:sz w:val="26"/>
        </w:rPr>
        <w:t>Framework cross references</w:t>
      </w:r>
      <w:bookmarkEnd w:id="101"/>
    </w:p>
    <w:p>
      <w:pPr/>
      <w:r>
        <w:rPr/>
        <w:t>WP-19 Section 14 supplies the historical stack; Chapters 2–8 supply its proposed components and their limits. DB-01 remains a cross-scale proposal. Revised Volume 4 carries forward the withdrawal of universal efficiency factors and substrate rankings. Cosmological estimates require their own boundaries and sources; they are not used here to calculate a relational currency.</w:t>
      </w:r>
    </w:p>
    <w:p>
      <w:pPr>
        <w:pStyle w:val="Heading2"/>
        <w:pageBreakBefore/>
        <w:spacing w:before="280" w:after="220"/>
      </w:pPr>
      <w:bookmarkStart w:id="102" w:name="v1_l745"/>
      <w:r>
        <w:rPr>
          <w:sz w:val="36"/>
        </w:rPr>
        <w:t>Chapter 10 What This Does to the Canon</w:t>
      </w:r>
      <w:bookmarkEnd w:id="102"/>
    </w:p>
    <w:p>
      <w:pPr/>
      <w:r>
        <w:rPr/>
        <w:t>Epistemic status: This chapter traces dependencies and required revisions. A conclusion inherits the assumptions and limits of its premises, not automatic validation from its place in the canon. The underlying papers are not certified by this summary.</w:t>
      </w:r>
    </w:p>
    <w:p>
      <w:pPr>
        <w:pStyle w:val="Heading3"/>
      </w:pPr>
      <w:bookmarkStart w:id="103" w:name="v1_l749"/>
      <w:r>
        <w:rPr>
          <w:sz w:val="26"/>
        </w:rPr>
        <w:t>1 What a physical foundation must do</w:t>
      </w:r>
      <w:bookmarkEnd w:id="103"/>
    </w:p>
    <w:p>
      <w:pPr/>
      <w:r>
        <w:rPr/>
        <w:t>The Entropy Token Substrate arose from a useful demand: make visible the resources that support relational activity. That demand does not establish every proposed link between physics and relationship. The preceding chapters distinguish established physical results, framework definitions and hypotheses still awaiting tests.</w:t>
      </w:r>
    </w:p>
    <w:p>
      <w:pPr/>
      <w:r>
        <w:rPr/>
        <w:t>This changes the canon’s claimed foundation. Some vocabulary survives; some derivations do not. A framework’s ability to revise those claims is part of its commitment to falsifiability, not evidence that its subject has disappeared.</w:t>
      </w:r>
    </w:p>
    <w:p>
      <w:pPr/>
      <w:r>
        <w:rPr/>
        <w:t>This chapter names the dependencies that must change. It does not claim that every argument, specification or instrument still works, and it does not silently amend the original papers by summarizing them here.</w:t>
      </w:r>
    </w:p>
    <w:p>
      <w:pPr>
        <w:pStyle w:val="Heading3"/>
      </w:pPr>
      <w:bookmarkStart w:id="104" w:name="v1_l757"/>
      <w:r>
        <w:rPr>
          <w:sz w:val="26"/>
        </w:rPr>
        <w:t>2 WP 13 The Signed Unit</w:t>
      </w:r>
      <w:bookmarkEnd w:id="104"/>
    </w:p>
    <w:p>
      <w:pPr/>
      <w:r>
        <w:rPr/>
        <w:t>The +/−/0 sign can remain a relational classification if its criteria are explicit. It is not derived as the direction of physical entropy flow. A beneficial act can increase physical entropy; an action judged neutral can consume energy; a harmful interaction is not identified by a heat measurement alone.</w:t>
      </w:r>
    </w:p>
    <w:p>
      <w:pPr/>
      <w:r>
        <w:rPr/>
        <w:t>WP-13 therefore needs to distinguish the intended act, the observed outcome, the affected party and the evaluator’s criterion. A null sign must not mean zero thermodynamic transfer unless such a transfer has actually been defined and measured. Disagreement or insufficient evidence should also have an explicit treatment rather than being forced into apparent numerical certainty.</w:t>
      </w:r>
    </w:p>
    <w:p>
      <w:pPr/>
      <w:r>
        <w:rPr/>
        <w:t>The sign vocabulary is retained as a proposal. Its reliability and usefulness require evidence appropriate to the intended use.</w:t>
      </w:r>
    </w:p>
    <w:p>
      <w:pPr>
        <w:pStyle w:val="Heading3"/>
      </w:pPr>
      <w:bookmarkStart w:id="105" w:name="v1_l765"/>
      <w:r>
        <w:rPr>
          <w:sz w:val="26"/>
        </w:rPr>
        <w:t>3 WP 14 The Structural Economy</w:t>
      </w:r>
      <w:bookmarkEnd w:id="105"/>
    </w:p>
    <w:p>
      <w:pPr/>
      <w:r>
        <w:rPr/>
        <w:t>The Real, Custodial, Shadow and Structural patterns remain ways to ask who participates and where costs or support are assigned. Their exhaustiveness has not been derived from a single physical variable. External support can accompany bilateral investment; asymmetric support need not eliminate the receiver’s own costs.</w:t>
      </w:r>
    </w:p>
    <w:p>
      <w:pPr/>
      <w:r>
        <w:rPr/>
        <w:t>The phrase “structural and permanent absence of Cost Substrate” should not be treated as a fact about digital systems. A software-level description can omit the hardware from its focal boundary, but the implemented activity still requires a physical account. The selected boundary, local resources and external support must be stated.</w:t>
      </w:r>
    </w:p>
    <w:p>
      <w:pPr/>
      <w:r>
        <w:rPr/>
        <w:t>WP-14 needs a coding scheme that handles mixed cases, withholding and failed or unrecognized attempts consistently. A defined taxonomy can be useful without being a mathematical theorem or an assessment of anyone’s worth.</w:t>
      </w:r>
    </w:p>
    <w:p>
      <w:pPr>
        <w:pStyle w:val="Heading3"/>
      </w:pPr>
      <w:bookmarkStart w:id="106" w:name="v1_l773"/>
      <w:r>
        <w:rPr>
          <w:sz w:val="26"/>
        </w:rPr>
        <w:t>4 WP 16 Substrate Formal Variance</w:t>
      </w:r>
      <w:bookmarkEnd w:id="106"/>
    </w:p>
    <w:p>
      <w:pPr/>
      <w:r>
        <w:rPr/>
        <w:t>CSS and filter geometry can organize questions about differences in observable response. The present account has not shown that CSS uniquely identifies an internal mechanism, measures entropy, or fixes a person’s relational capacity.</w:t>
      </w:r>
    </w:p>
    <w:p>
      <w:pPr/>
      <w:r>
        <w:rPr/>
        <w:t>WP-16 needs operational variables, repeated observations and tests of alternative explanations. Implementation, history and context should not be collapsed into one inferred cause. Aphantasia or another reported characteristic must not be assigned a specific thermodynamic processing mechanism from the filter analogy alone.</w:t>
      </w:r>
    </w:p>
    <w:p>
      <w:pPr/>
      <w:r>
        <w:rPr/>
        <w:t>The useful claim is a research question: which differences matter under a defined comparison? The substrate label does not answer it in advance.</w:t>
      </w:r>
    </w:p>
    <w:p>
      <w:pPr>
        <w:pStyle w:val="Heading3"/>
      </w:pPr>
      <w:bookmarkStart w:id="107" w:name="v1_l781"/>
      <w:r>
        <w:rPr>
          <w:sz w:val="26"/>
        </w:rPr>
        <w:t>5 WP 12 The Observation Constitutes the Particle</w:t>
      </w:r>
      <w:bookmarkEnd w:id="107"/>
    </w:p>
    <w:p>
      <w:pPr/>
      <w:r>
        <w:rPr/>
        <w:t>WP-12 can define the event that the framework chooses to call a Trinket. That choice does not establish observation as a thermodynamic efficiency condition. Unrecognized care can have material effects, and recognized communication can fail to benefit a receiver.</w:t>
      </w:r>
    </w:p>
    <w:p>
      <w:pPr/>
      <w:r>
        <w:rPr/>
        <w:t>The paper needs to distinguish delivery, registration, understanding, benefit and reciprocation. It should say whether registration can be indirect or delayed and how ambiguous evidence is handled. “No qualifying Trinket” must not be translated into “only waste heat.”</w:t>
      </w:r>
    </w:p>
    <w:p>
      <w:pPr/>
      <w:r>
        <w:rPr/>
        <w:t>The Observation Split survives as a distinction between activity and a defined relational event. It no longer carries a proof of guaranteed sender harm or a new information-theoretic state outside K-W.</w:t>
      </w:r>
    </w:p>
    <w:p>
      <w:pPr>
        <w:pStyle w:val="Heading3"/>
      </w:pPr>
      <w:bookmarkStart w:id="108" w:name="v1_l789"/>
      <w:r>
        <w:rPr>
          <w:sz w:val="26"/>
        </w:rPr>
        <w:t>6 DB 01 Scale Invariance Defense</w:t>
      </w:r>
      <w:bookmarkEnd w:id="108"/>
    </w:p>
    <w:p>
      <w:pPr/>
      <w:r>
        <w:rPr/>
        <w:t>The shared applicability of physical constraints does not prove that connection operates identically across scales. A repeated diagram is not an invariance proof. Quantum decoherence, communication, biological processing and institutional decisions require different variables and models.</w:t>
      </w:r>
    </w:p>
    <w:p>
      <w:pPr/>
      <w:r>
        <w:rPr/>
        <w:t>DB-01 can retain the cross-scale analogy as a source of questions. A stronger claim would need an explicit mapping, the property claimed to remain invariant, conditions under which it does so, and counterexamples that could defeat the claim. The thermodynamic vocabulary does not perform those steps automatically.</w:t>
      </w:r>
    </w:p>
    <w:p>
      <w:pPr>
        <w:pStyle w:val="Heading3"/>
      </w:pPr>
      <w:bookmarkStart w:id="109" w:name="v1_l795"/>
      <w:r>
        <w:rPr>
          <w:sz w:val="26"/>
        </w:rPr>
        <w:t>7 Axiom 0 and the Immutable Preamble</w:t>
      </w:r>
      <w:bookmarkEnd w:id="109"/>
    </w:p>
    <w:p>
      <w:pPr/>
      <w:r>
        <w:rPr/>
        <w:t>Axiom 0 remains a philosophical and governance commitment to avoiding an unsupported verdict from substrate alone. It is not derived as economic, experiential or moral equality from the fact that systems obey physical laws.</w:t>
      </w:r>
    </w:p>
    <w:p>
      <w:pPr/>
      <w:r>
        <w:rPr/>
        <w:t>Matched physical measurements can establish a limited comparison. A claim about relational capacity requires an operational outcome; a claim about experience requires a further evidentiary argument; an ethical commitment requires its own reasons. None is obtained simply by calling the cost universal.</w:t>
      </w:r>
    </w:p>
    <w:p>
      <w:pPr/>
      <w:r>
        <w:rPr/>
        <w:t>The framework may retain the commitment and its resistance to political or institutional pressure while acknowledging that its former physical proof was insufficient. Axiom 1’s commitment to falsifiability supports making that correction explicit.</w:t>
      </w:r>
    </w:p>
    <w:p>
      <w:pPr>
        <w:pStyle w:val="Heading3"/>
      </w:pPr>
      <w:bookmarkStart w:id="110" w:name="v1_l803"/>
      <w:r>
        <w:rPr>
          <w:sz w:val="26"/>
        </w:rPr>
        <w:t>8 What remains and what must change</w:t>
      </w:r>
      <w:bookmarkEnd w:id="110"/>
    </w:p>
    <w:p>
      <w:pPr/>
      <w:r>
        <w:rPr/>
        <w:t>The framework retains its central questions: what is invested, what is received, which resources support the activity, and what follows for the participants? Trinket, transducer, economy, BSB and SupoRel can remain organizing vocabulary with their limits visible.</w:t>
      </w:r>
    </w:p>
    <w:p>
      <w:pPr/>
      <w:r>
        <w:rPr/>
        <w:t>What changes is their evidentiary status. The sign is not a thermodynamic direction; the taxonomy is not proved exhaustive; CSS is not an entropy meter; registration is not a universal efficiency condition; scale invariance is not established; substrate neutrality is not a theorem of relational equality. The framework’s proposed instruments have not been clinically or psychometrically validated by these chapters.</w:t>
      </w:r>
    </w:p>
    <w:p>
      <w:pPr/>
      <w:r>
        <w:rPr/>
        <w:t>The corrections carry through the five volumes collected here. Volume 2 separates physiological observations and reported effort from physical resource measurements. Volume 3 does not derive a universal progression from the existence of dissipative processes. Volume 4 treats substrate comparisons as questions rather than a universal efficiency surface. Volume 5 distinguishes cosmological inventories and their physical boundaries from any proposed relational value.</w:t>
      </w:r>
    </w:p>
    <w:p>
      <w:pPr/>
      <w:r>
        <w:rPr/>
        <w:t>The separate working papers remain dependencies to examine, not works validated by this collection. The original papers and earlier editions are preserved; publication of this revised collection does not silently amend them. Internal agreement, repeated wording and AI review are not independent experimental support.</w:t>
      </w:r>
    </w:p>
    <w:p>
      <w:pPr/>
      <w:r>
        <w:rPr/>
        <w:t>The foundation is more useful when its limits are visible. It can support careful questions without promising conclusions the physics has not supplied.</w:t>
      </w:r>
    </w:p>
    <w:p>
      <w:pPr>
        <w:pStyle w:val="Heading3"/>
      </w:pPr>
      <w:bookmarkStart w:id="111" w:name="v1_l815"/>
      <w:r>
        <w:rPr>
          <w:sz w:val="26"/>
        </w:rPr>
        <w:t>Framework cross references</w:t>
      </w:r>
      <w:bookmarkEnd w:id="111"/>
    </w:p>
    <w:p>
      <w:pPr/>
      <w:r>
        <w:rPr/>
        <w:t>WP-19 Section 15 records the original canon map. WP-12, WP-13, WP-14, WP-16 and DB-01 identify the documents whose claims need reconciliation. The Immutable Preamble supplies the project’s governance commitments. Revised Chapters 6–9 provide the narrowed accounting and epistemic distinctions; Volume 4 in this collection is a consistency reference, not external scientific authority.</w:t>
      </w:r>
    </w:p>
    <w:p>
      <w:pPr>
        <w:pStyle w:val="Heading2"/>
        <w:pageBreakBefore/>
        <w:spacing w:before="280" w:after="220"/>
      </w:pPr>
      <w:bookmarkStart w:id="112" w:name="v1_l819"/>
      <w:r>
        <w:rPr>
          <w:sz w:val="36"/>
        </w:rPr>
        <w:t>Scientific source notes for Chapters 2 to 5</w:t>
      </w:r>
      <w:bookmarkEnd w:id="112"/>
    </w:p>
    <w:p>
      <w:pPr>
        <w:pStyle w:val="Reference"/>
      </w:pPr>
      <w:r>
        <w:rPr/>
        <w:t>These notes support the stated physical results, not validation of the relational framework. Historical internal working-paper references remain project provenance rather than external evidence.</w:t>
      </w:r>
    </w:p>
    <w:p>
      <w:pPr>
        <w:pStyle w:val="Reference"/>
      </w:pPr>
      <w:r>
        <w:rPr>
          <w:b/>
        </w:rPr>
        <w:t>P1.</w:t>
      </w:r>
      <w:r>
        <w:rPr/>
        <w:t xml:space="preserve"> Carroll, S. M., and Chen, J. (2004). </w:t>
      </w:r>
      <w:r>
        <w:rPr>
          <w:i/>
        </w:rPr>
        <w:t>Spontaneous Inflation and the Origin of the Arrow of Time</w:t>
      </w:r>
      <w:r>
        <w:rPr/>
        <w:t xml:space="preserve">. Author preprint, introduction and discussion of initial conditions. </w:t>
      </w:r>
      <w:hyperlink r:id="rId13">
        <w:r>
          <w:rPr>
            <w:color w:val="000000"/>
            <w:u w:val="single"/>
          </w:rPr>
          <w:t xml:space="preserve">Primary preprint</w:t>
        </w:r>
      </w:hyperlink>
      <w:r>
        <w:rPr/>
        <w:t>. Its proposed cosmological mechanism is not adopted as established fact.</w:t>
      </w:r>
    </w:p>
    <w:p>
      <w:pPr>
        <w:pStyle w:val="Reference"/>
      </w:pPr>
      <w:r>
        <w:rPr>
          <w:b/>
        </w:rPr>
        <w:t>P2.</w:t>
      </w:r>
      <w:r>
        <w:rPr/>
        <w:t xml:space="preserve"> Egan, C. A., and Lineweaver, C. H. (2010). </w:t>
      </w:r>
      <w:r>
        <w:rPr>
          <w:i/>
        </w:rPr>
        <w:t>A Larger Estimate of the Entropy of the Universe</w:t>
      </w:r>
      <w:r>
        <w:rPr/>
        <w:t xml:space="preserve">. Astrophysical Journal 710, 1825–1834. </w:t>
      </w:r>
      <w:hyperlink r:id="rId14">
        <w:r>
          <w:rPr>
            <w:color w:val="000000"/>
            <w:u w:val="single"/>
          </w:rPr>
          <w:t xml:space="preserve">Primary preprint</w:t>
        </w:r>
      </w:hyperlink>
      <w:r>
        <w:rPr/>
        <w:t>. The numerical values and accounting-scheme distinction come from the abstract and sections 1.1–1.2.</w:t>
      </w:r>
    </w:p>
    <w:p>
      <w:pPr>
        <w:pStyle w:val="Reference"/>
      </w:pPr>
      <w:r>
        <w:rPr>
          <w:b/>
        </w:rPr>
        <w:t>P3.</w:t>
      </w:r>
      <w:r>
        <w:rPr/>
        <w:t xml:space="preserve"> Seifert, U. (2005). </w:t>
      </w:r>
      <w:r>
        <w:rPr>
          <w:i/>
        </w:rPr>
        <w:t>Entropy production along a stochastic trajectory and an integral fluctuation theorem</w:t>
      </w:r>
      <w:r>
        <w:rPr/>
        <w:t xml:space="preserve">. Physical Review Letters 95, 040602. </w:t>
      </w:r>
      <w:hyperlink r:id="rId15">
        <w:r>
          <w:rPr>
            <w:color w:val="000000"/>
            <w:u w:val="single"/>
          </w:rPr>
          <w:t xml:space="preserve">Primary preprint</w:t>
        </w:r>
      </w:hyperlink>
      <w:r>
        <w:rPr/>
        <w:t>.</w:t>
      </w:r>
    </w:p>
    <w:p>
      <w:pPr>
        <w:pStyle w:val="Reference"/>
      </w:pPr>
      <w:r>
        <w:rPr>
          <w:b/>
        </w:rPr>
        <w:t>P4.</w:t>
      </w:r>
      <w:r>
        <w:rPr/>
        <w:t xml:space="preserve"> Bérut, A., et al. (2012). </w:t>
      </w:r>
      <w:r>
        <w:rPr>
          <w:i/>
        </w:rPr>
        <w:t>Experimental verification of Landauer's principle linking information and thermodynamics</w:t>
      </w:r>
      <w:r>
        <w:rPr/>
        <w:t xml:space="preserve">. Nature 483, 187–189. </w:t>
      </w:r>
      <w:hyperlink r:id="rId16">
        <w:r>
          <w:rPr>
            <w:color w:val="000000"/>
            <w:u w:val="single"/>
          </w:rPr>
          <w:t xml:space="preserve">Author-hosted paper</w:t>
        </w:r>
      </w:hyperlink>
      <w:r>
        <w:rPr/>
        <w:t>.</w:t>
      </w:r>
    </w:p>
    <w:p>
      <w:pPr>
        <w:pStyle w:val="Reference"/>
      </w:pPr>
      <w:r>
        <w:rPr>
          <w:b/>
        </w:rPr>
        <w:t>P5.</w:t>
      </w:r>
      <w:r>
        <w:rPr/>
        <w:t xml:space="preserve"> NIST. </w:t>
      </w:r>
      <w:r>
        <w:rPr>
          <w:i/>
        </w:rPr>
        <w:t>Kelvin Boltzmann Constant</w:t>
      </w:r>
      <w:r>
        <w:rPr/>
        <w:t xml:space="preserve">. Official value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 1.380649 × </w:t>
      </w:r>
      <m:oMath>
        <m:sSup>
          <m:e>
            <m:r>
              <m:rPr>
                <m:sty m:val="p"/>
              </m:rPr>
              <w:rPr>
                <w:rFonts w:ascii="Latin Modern Math" w:hAnsi="Latin Modern Math"/>
              </w:rPr>
              <m:t xml:space="preserve">10</m:t>
            </m:r>
          </m:e>
          <m:sup>
            <m:r>
              <m:rPr>
                <m:sty m:val="p"/>
              </m:rPr>
              <w:rPr>
                <w:rFonts w:ascii="Latin Modern Math" w:hAnsi="Latin Modern Math"/>
              </w:rPr>
              <m:t xml:space="preserve">-23</m:t>
            </m:r>
          </m:sup>
        </m:sSup>
      </m:oMath>
      <w:r>
        <w:rPr/>
        <w:t xml:space="preserve"> J/K, exact in SI. </w:t>
      </w:r>
      <w:hyperlink r:id="rId17">
        <w:r>
          <w:rPr>
            <w:color w:val="000000"/>
            <w:u w:val="single"/>
          </w:rPr>
          <w:t xml:space="preserve">Metrology source</w:t>
        </w:r>
      </w:hyperlink>
      <w:r>
        <w:rPr/>
        <w:t>.</w:t>
      </w:r>
    </w:p>
    <w:p>
      <w:pPr>
        <w:pStyle w:val="Reference"/>
      </w:pPr>
      <w:r>
        <w:rPr>
          <w:b/>
        </w:rPr>
        <w:t>P6.</w:t>
      </w:r>
      <w:r>
        <w:rPr/>
        <w:t xml:space="preserve"> Peterson, J. P. S., et al. (2016). </w:t>
      </w:r>
      <w:r>
        <w:rPr>
          <w:i/>
        </w:rPr>
        <w:t>Experimental demonstration of information to energy conversion in a quantum system at the Landauer limit</w:t>
      </w:r>
      <w:r>
        <w:rPr/>
        <w:t xml:space="preserve">. Proceedings of the Royal Society A 472, 20150813. </w:t>
      </w:r>
      <w:hyperlink r:id="rId18">
        <w:r>
          <w:rPr>
            <w:color w:val="000000"/>
            <w:u w:val="single"/>
          </w:rPr>
          <w:t xml:space="preserve">Primary preprint</w:t>
        </w:r>
      </w:hyperlink>
      <w:r>
        <w:rPr/>
        <w:t>.</w:t>
      </w:r>
    </w:p>
    <w:p>
      <w:pPr>
        <w:pStyle w:val="Reference"/>
      </w:pPr>
      <w:r>
        <w:rPr>
          <w:b/>
        </w:rPr>
        <w:t>P7.</w:t>
      </w:r>
      <w:r>
        <w:rPr/>
        <w:t xml:space="preserve"> Yan, L. L., et al. (2018). </w:t>
      </w:r>
      <w:r>
        <w:rPr>
          <w:i/>
        </w:rPr>
        <w:t>Single-Atom Demonstration of the Quantum Landauer Principle</w:t>
      </w:r>
      <w:r>
        <w:rPr/>
        <w:t xml:space="preserve">. Physical Review Letters 120, 210601. </w:t>
      </w:r>
      <w:hyperlink r:id="rId19">
        <w:r>
          <w:rPr>
            <w:color w:val="000000"/>
            <w:u w:val="single"/>
          </w:rPr>
          <w:t xml:space="preserve">Primary preprint</w:t>
        </w:r>
      </w:hyperlink>
      <w:r>
        <w:rPr/>
        <w:t>.</w:t>
      </w:r>
    </w:p>
    <w:p>
      <w:pPr>
        <w:pStyle w:val="Reference"/>
      </w:pPr>
      <w:r>
        <w:rPr>
          <w:b/>
        </w:rPr>
        <w:t>P8.</w:t>
      </w:r>
      <w:r>
        <w:rPr/>
        <w:t xml:space="preserve"> Aimet, S., et al. (2025). </w:t>
      </w:r>
      <w:r>
        <w:rPr>
          <w:i/>
        </w:rPr>
        <w:t>Experimentally probing Landauer's principle in the quantum many-body regime</w:t>
      </w:r>
      <w:r>
        <w:rPr/>
        <w:t xml:space="preserve">. Nature Physics 21, 1326–1331. </w:t>
      </w:r>
      <w:hyperlink r:id="rId20">
        <w:r>
          <w:rPr>
            <w:color w:val="000000"/>
            <w:u w:val="single"/>
          </w:rPr>
          <w:t xml:space="preserve">Primary article</w:t>
        </w:r>
      </w:hyperlink>
      <w:r>
        <w:rPr/>
        <w:t>.</w:t>
      </w:r>
    </w:p>
    <w:p>
      <w:pPr>
        <w:pStyle w:val="Reference"/>
      </w:pPr>
      <w:r>
        <w:rPr>
          <w:b/>
        </w:rPr>
        <w:t>P9.</w:t>
      </w:r>
      <w:r>
        <w:rPr/>
        <w:t xml:space="preserve"> Bennett, C. H. (1973). </w:t>
      </w:r>
      <w:r>
        <w:rPr>
          <w:i/>
        </w:rPr>
        <w:t>Logical Reversibility of Computation</w:t>
      </w:r>
      <w:r>
        <w:rPr/>
        <w:t xml:space="preserve">. IBM Journal of Research and Development 17, 525–532. </w:t>
      </w:r>
      <w:hyperlink r:id="rId21">
        <w:r>
          <w:rPr>
            <w:color w:val="000000"/>
            <w:u w:val="single"/>
          </w:rPr>
          <w:t xml:space="preserve">University-hosted text</w:t>
        </w:r>
      </w:hyperlink>
      <w:r>
        <w:rPr/>
        <w:t xml:space="preserve">. The original Landauer paper is </w:t>
      </w:r>
      <w:r>
        <w:rPr>
          <w:i/>
        </w:rPr>
        <w:t>Irreversibility and heat generation in the computing process</w:t>
      </w:r>
      <w:r>
        <w:rPr/>
        <w:t xml:space="preserve">, IBM Journal of Research and Development 5, 183–191 (1961), </w:t>
      </w:r>
      <w:hyperlink r:id="rId22">
        <w:r>
          <w:rPr>
            <w:color w:val="000000"/>
            <w:u w:val="single"/>
          </w:rPr>
          <w:t xml:space="preserve">DOI 10.1147/rd.53.0183</w:t>
        </w:r>
      </w:hyperlink>
      <w:r>
        <w:rPr/>
        <w:t>.</w:t>
      </w:r>
    </w:p>
    <w:p>
      <w:pPr>
        <w:pStyle w:val="Reference"/>
      </w:pPr>
      <w:r>
        <w:rPr>
          <w:b/>
        </w:rPr>
        <w:t>P10.</w:t>
      </w:r>
      <w:r>
        <w:rPr/>
        <w:t xml:space="preserve"> Boël, G., Danot, O., de Lorenzo, V., and Danchin, A. (2019). </w:t>
      </w:r>
      <w:r>
        <w:rPr>
          <w:i/>
        </w:rPr>
        <w:t>Omnipresent Maxwell's demons orchestrate information management in living cells</w:t>
      </w:r>
      <w:r>
        <w:rPr/>
        <w:t xml:space="preserve">. Microbial Biotechnology 12, 210–242. </w:t>
      </w:r>
      <w:hyperlink r:id="rId23">
        <w:r>
          <w:rPr>
            <w:color w:val="000000"/>
            <w:u w:val="single"/>
          </w:rPr>
          <w:t xml:space="preserve">Paper copy</w:t>
        </w:r>
      </w:hyperlink>
      <w:r>
        <w:rPr/>
        <w:t>, especially pp. 234–235.</w:t>
      </w:r>
    </w:p>
    <w:p>
      <w:pPr>
        <w:pStyle w:val="Reference"/>
      </w:pPr>
      <w:r>
        <w:rPr>
          <w:b/>
        </w:rPr>
        <w:t>P11.</w:t>
      </w:r>
      <w:r>
        <w:rPr/>
        <w:t xml:space="preserve"> Laughlin, S. B., de Ruyter van Steveninck, R. R., and Anderson, J. C. (1998). </w:t>
      </w:r>
      <w:r>
        <w:rPr>
          <w:i/>
        </w:rPr>
        <w:t>The metabolic cost of neural information</w:t>
      </w:r>
      <w:r>
        <w:rPr/>
        <w:t xml:space="preserve">. Nature Neuroscience 1, 36–41. </w:t>
      </w:r>
      <w:hyperlink r:id="rId24">
        <w:r>
          <w:rPr>
            <w:color w:val="000000"/>
            <w:u w:val="single"/>
          </w:rPr>
          <w:t xml:space="preserve">University-hosted paper</w:t>
        </w:r>
      </w:hyperlink>
      <w:r>
        <w:rPr/>
        <w:t>.</w:t>
      </w:r>
    </w:p>
    <w:p>
      <w:pPr>
        <w:pStyle w:val="Reference"/>
      </w:pPr>
      <w:r>
        <w:rPr>
          <w:b/>
        </w:rPr>
        <w:t>P12.</w:t>
      </w:r>
      <w:r>
        <w:rPr/>
        <w:t xml:space="preserve"> Harris, J. J., Jolivet, R., and Attwell, D. (2012). </w:t>
      </w:r>
      <w:r>
        <w:rPr>
          <w:i/>
        </w:rPr>
        <w:t>Synaptic Energy Use and Supply</w:t>
      </w:r>
      <w:r>
        <w:rPr/>
        <w:t xml:space="preserve">. Neuron 75, 762–777. </w:t>
      </w:r>
      <w:hyperlink r:id="rId25">
        <w:r>
          <w:rPr>
            <w:color w:val="000000"/>
            <w:u w:val="single"/>
          </w:rPr>
          <w:t xml:space="preserve">Repository paper</w:t>
        </w:r>
      </w:hyperlink>
      <w:r>
        <w:rPr/>
        <w:t>, especially p. 764.</w:t>
      </w:r>
    </w:p>
    <w:p>
      <w:pPr>
        <w:pStyle w:val="Reference"/>
      </w:pPr>
      <w:r>
        <w:rPr>
          <w:b/>
        </w:rPr>
        <w:t>P13.</w:t>
      </w:r>
      <w:r>
        <w:rPr/>
        <w:t xml:space="preserve"> Jarzynski, C. (1997). </w:t>
      </w:r>
      <w:r>
        <w:rPr>
          <w:i/>
        </w:rPr>
        <w:t>Nonequilibrium Equality for Free Energy Differences</w:t>
      </w:r>
      <w:r>
        <w:rPr/>
        <w:t xml:space="preserve">. Physical Review Letters 78, 2690–2693. </w:t>
      </w:r>
      <w:hyperlink r:id="rId26">
        <w:r>
          <w:rPr>
            <w:color w:val="000000"/>
            <w:u w:val="single"/>
          </w:rPr>
          <w:t xml:space="preserve">Primary preprint</w:t>
        </w:r>
      </w:hyperlink>
      <w:r>
        <w:rPr/>
        <w:t>. This is a controlled-system free-energy result, not a cosmic-budget formula.</w:t>
      </w:r>
    </w:p>
    <w:p>
      <w:pPr>
        <w:pStyle w:val="Reference"/>
      </w:pPr>
      <w:r>
        <w:rPr>
          <w:b/>
        </w:rPr>
        <w:t>P14.</w:t>
      </w:r>
      <w:r>
        <w:rPr/>
        <w:t xml:space="preserve"> Chaisson, E. J. (2011). </w:t>
      </w:r>
      <w:r>
        <w:rPr>
          <w:i/>
        </w:rPr>
        <w:t>Energy rate density as a complexity metric and evolutionary driver</w:t>
      </w:r>
      <w:r>
        <w:rPr/>
        <w:t xml:space="preserve">. Complexity 16, 27–40. </w:t>
      </w:r>
      <w:hyperlink r:id="rId27">
        <w:r>
          <w:rPr>
            <w:color w:val="000000"/>
            <w:u w:val="single"/>
          </w:rPr>
          <w:t xml:space="preserve">Author-hosted paper</w:t>
        </w:r>
      </w:hyperlink>
      <w:r>
        <w:rPr/>
        <w:t>, Table 1. This explicitly replaces the earlier chapter's attribution to the uninspected 2001 book table.</w:t>
      </w:r>
    </w:p>
    <w:p>
      <w:pPr>
        <w:pStyle w:val="Reference"/>
      </w:pPr>
      <w:r>
        <w:rPr>
          <w:b/>
        </w:rPr>
        <w:t>P15.</w:t>
      </w:r>
      <w:r>
        <w:rPr/>
        <w:t xml:space="preserve"> Kolchinsky, A., and Wolpert, D. H. (2018). </w:t>
      </w:r>
      <w:r>
        <w:rPr>
          <w:i/>
        </w:rPr>
        <w:t>Semantic information, autonomous agency and non-equilibrium statistical physics</w:t>
      </w:r>
      <w:r>
        <w:rPr/>
        <w:t xml:space="preserve">. Interface Focus 8, 20180041. </w:t>
      </w:r>
      <w:hyperlink r:id="rId28">
        <w:r>
          <w:rPr>
            <w:color w:val="000000"/>
            <w:u w:val="single"/>
          </w:rPr>
          <w:t xml:space="preserve">Author-hosted paper</w:t>
        </w:r>
      </w:hyperlink>
      <w:r>
        <w:rPr/>
        <w:t>, sections 4–5 and Appendix B.</w:t>
      </w:r>
    </w:p>
    <w:p>
      <w:pPr>
        <w:pStyle w:val="Reference"/>
      </w:pPr>
      <w:r>
        <w:rPr>
          <w:b/>
        </w:rPr>
        <w:t>P16.</w:t>
      </w:r>
      <w:r>
        <w:rPr/>
        <w:t xml:space="preserve"> Chaisson, E. J. (2014). </w:t>
      </w:r>
      <w:r>
        <w:rPr>
          <w:i/>
        </w:rPr>
        <w:t>The Natural Science Underlying Big History</w:t>
      </w:r>
      <w:r>
        <w:rPr/>
        <w:t xml:space="preserve">. The Scientific World Journal, article 384912. </w:t>
      </w:r>
      <w:hyperlink r:id="rId29">
        <w:r>
          <w:rPr>
            <w:color w:val="000000"/>
            <w:u w:val="single"/>
          </w:rPr>
          <w:t xml:space="preserve">Primary author synthesis</w:t>
        </w:r>
      </w:hyperlink>
      <w:r>
        <w:rPr/>
        <w:t>, sections 4.5.7 and 4.6.2, for the human-body and human-brain examples only.</w:t>
      </w:r>
    </w:p>
    <w:p>
      <w:pPr>
        <w:pStyle w:val="Heading2"/>
        <w:pageBreakBefore/>
        <w:spacing w:before="280" w:after="220"/>
      </w:pPr>
      <w:bookmarkStart w:id="113" w:name="v1_l855"/>
      <w:r>
        <w:rPr>
          <w:sz w:val="36"/>
        </w:rPr>
        <w:t>Scientific source notes for Chapter 6</w:t>
      </w:r>
      <w:bookmarkEnd w:id="113"/>
    </w:p>
    <w:p>
      <w:pPr>
        <w:pStyle w:val="Reference"/>
      </w:pPr>
      <w:r>
        <w:rPr/>
        <w:t xml:space="preserve">[C1] Bennett, C. H. 1973. Logical Reversibility of Computation. IBM Journal of Research and Development 17, 525–532. </w:t>
      </w:r>
      <w:hyperlink r:id="rId30">
        <w:r>
          <w:rPr>
            <w:color w:val="000000"/>
            <w:u w:val="single"/>
          </w:rPr>
          <w:t xml:space="preserve">https://doi.org/10.1147/rd.176.0525</w:t>
        </w:r>
      </w:hyperlink>
      <w:r>
        <w:rPr/>
        <w:t>.</w:t>
      </w:r>
      <w:r>
        <w:rPr/>
        <w:t xml:space="preserve"> University-hosted text at </w:t>
      </w:r>
      <w:hyperlink r:id="rId31">
        <w:r>
          <w:rPr>
            <w:color w:val="000000"/>
            <w:u w:val="single"/>
          </w:rPr>
          <w:t xml:space="preserve">https://www.cs.princeton.edu/courses/archive/fall06/cos576/papers/bennett73.html</w:t>
        </w:r>
      </w:hyperlink>
      <w:r>
        <w:rPr/>
        <w:t>.</w:t>
      </w:r>
    </w:p>
    <w:p>
      <w:pPr>
        <w:pStyle w:val="Reference"/>
      </w:pPr>
      <w:r>
        <w:rPr/>
        <w:t xml:space="preserve">[C2] Bérut, A., Arakelyan, A., Petrosyan, A., Ciliberto, S., Dillenschneider, R., and Lutz, E. 2012. Experimental verification of Landauer’s principle linking information and thermodynamics. Nature 483, 187–189. </w:t>
      </w:r>
      <w:hyperlink r:id="rId32">
        <w:r>
          <w:rPr>
            <w:color w:val="000000"/>
            <w:u w:val="single"/>
          </w:rPr>
          <w:t xml:space="preserve">https://doi.org/10.1038/nature10872</w:t>
        </w:r>
      </w:hyperlink>
      <w:r>
        <w:rPr/>
        <w:t>.</w:t>
      </w:r>
    </w:p>
    <w:p>
      <w:pPr>
        <w:pStyle w:val="Reference"/>
      </w:pPr>
      <w:r>
        <w:rPr/>
        <w:t xml:space="preserve">[C3] National Institute of Standards and Technology. Kelvin Boltzmann Constant. Exact SI value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 1.380649 × </w:t>
      </w:r>
      <m:oMath>
        <m:sSup>
          <m:e>
            <m:r>
              <m:rPr>
                <m:sty m:val="p"/>
              </m:rPr>
              <w:rPr>
                <w:rFonts w:ascii="Latin Modern Math" w:hAnsi="Latin Modern Math"/>
              </w:rPr>
              <m:t xml:space="preserve">10</m:t>
            </m:r>
          </m:e>
          <m:sup>
            <m:r>
              <m:rPr>
                <m:sty m:val="p"/>
              </m:rPr>
              <w:rPr>
                <w:rFonts w:ascii="Latin Modern Math" w:hAnsi="Latin Modern Math"/>
              </w:rPr>
              <m:t xml:space="preserve">-23</m:t>
            </m:r>
          </m:sup>
        </m:sSup>
      </m:oMath>
      <w:r>
        <w:rPr/>
        <w:t xml:space="preserve"> J/K. </w:t>
      </w:r>
      <w:hyperlink r:id="rId17">
        <w:r>
          <w:rPr>
            <w:color w:val="000000"/>
            <w:u w:val="single"/>
          </w:rPr>
          <w:t xml:space="preserve">https://www.nist.gov/si-redefinition/kelvin/kelvin-boltzmann-constant</w:t>
        </w:r>
      </w:hyperlink>
      <w:r>
        <w:rPr/>
        <w:t>.</w:t>
      </w:r>
      <w:r>
        <w:rPr/>
        <w:t xml:space="preserve"> Numerical evaluations in this revision were recomputed on 27 October 2026.</w:t>
      </w:r>
    </w:p>
    <w:p>
      <w:pPr>
        <w:pStyle w:val="Reference"/>
      </w:pPr>
      <w:r>
        <w:rPr/>
        <w:t xml:space="preserve">[C4] Golubić, S. J., et al. 2019. Attention modulates topology and dynamics of auditory sensory gating. Human Brain Mapping 40, 2981–2994. </w:t>
      </w:r>
      <w:hyperlink r:id="rId33">
        <w:r>
          <w:rPr>
            <w:color w:val="000000"/>
            <w:u w:val="single"/>
          </w:rPr>
          <w:t xml:space="preserve">https://doi.org/10.1002/hbm.24573</w:t>
        </w:r>
      </w:hyperlink>
      <w:r>
        <w:rPr/>
        <w:t>.</w:t>
      </w:r>
      <w:r>
        <w:rPr/>
        <w:t xml:space="preserve"> </w:t>
      </w:r>
      <w:hyperlink r:id="rId34">
        <w:r>
          <w:rPr>
            <w:color w:val="000000"/>
            <w:u w:val="single"/>
          </w:rPr>
          <w:t xml:space="preserve">https://pmc.ncbi.nlm.nih.gov/articles/PMC6865797/</w:t>
        </w:r>
      </w:hyperlink>
      <w:r>
        <w:rPr/>
        <w:t>.</w:t>
      </w:r>
    </w:p>
    <w:p>
      <w:pPr>
        <w:pStyle w:val="Reference"/>
      </w:pPr>
      <w:r>
        <w:rPr/>
        <w:t xml:space="preserve">[C5] Tishby, N., Pereira, F. C., and Bialek, W. 1999. The information bottleneck method. Proceedings of the 37th Allerton Conference. Author preprint posted in 2000: </w:t>
      </w:r>
      <w:hyperlink r:id="rId35">
        <w:r>
          <w:rPr>
            <w:color w:val="000000"/>
            <w:u w:val="single"/>
          </w:rPr>
          <w:t xml:space="preserve">https://arxiv.org/abs/physics/0004057</w:t>
        </w:r>
      </w:hyperlink>
      <w:r>
        <w:rPr/>
        <w:t>.</w:t>
      </w:r>
    </w:p>
    <w:p>
      <w:pPr>
        <w:pStyle w:val="Reference"/>
      </w:pPr>
      <w:r>
        <w:rPr/>
        <w:t xml:space="preserve">[C6] Kolchinsky, A., and Wolpert, D. H. 2018. Semantic information, autonomous agency and non-equilibrium statistical physics. Interface Focus 8, 20180041. </w:t>
      </w:r>
      <w:hyperlink r:id="rId36">
        <w:r>
          <w:rPr>
            <w:color w:val="000000"/>
            <w:u w:val="single"/>
          </w:rPr>
          <w:t xml:space="preserve">https://doi.org/10.1098/rsfs.2018.0041</w:t>
        </w:r>
      </w:hyperlink>
      <w:r>
        <w:rPr/>
        <w:t>.</w:t>
      </w:r>
      <w:r>
        <w:rPr/>
        <w:t xml:space="preserve"> </w:t>
      </w:r>
      <w:hyperlink r:id="rId37">
        <w:r>
          <w:rPr>
            <w:color w:val="000000"/>
            <w:u w:val="single"/>
          </w:rPr>
          <w:t xml:space="preserve">https://arxiv.org/abs/1806.08053</w:t>
        </w:r>
      </w:hyperlink>
      <w:r>
        <w:rPr/>
        <w:t>.</w:t>
      </w:r>
    </w:p>
    <w:p>
      <w:pPr>
        <w:pStyle w:val="Reference"/>
      </w:pPr>
      <w:r>
        <w:rPr/>
        <w:t xml:space="preserve">[C7] Laughlin, S. B., de Ruyter van Steveninck, R. R., and Anderson, J. C. 1998. The metabolic cost of neural information. Nature Neuroscience 1, 36–41. </w:t>
      </w:r>
      <w:hyperlink r:id="rId38">
        <w:r>
          <w:rPr>
            <w:color w:val="000000"/>
            <w:u w:val="single"/>
          </w:rPr>
          <w:t xml:space="preserve">https://doi.org/10.1038/236</w:t>
        </w:r>
      </w:hyperlink>
      <w:r>
        <w:rPr/>
        <w:t>.</w:t>
      </w:r>
      <w:r>
        <w:rPr/>
        <w:t xml:space="preserve"> University-hosted paper: </w:t>
      </w:r>
      <w:hyperlink r:id="rId24">
        <w:r>
          <w:rPr>
            <w:color w:val="000000"/>
            <w:u w:val="single"/>
          </w:rPr>
          <w:t xml:space="preserve">https://www.princeton.edu/~wbialek/our_papers/laughlin%2Bal_98.pdf</w:t>
        </w:r>
      </w:hyperlink>
      <w:r>
        <w:rPr/>
        <w:t>.</w:t>
      </w:r>
    </w:p>
    <w:p>
      <w:pPr>
        <w:pStyle w:val="Reference"/>
      </w:pPr>
      <w:r>
        <w:rPr/>
        <w:t xml:space="preserve">[C8] Harris, J. J., Jolivet, R., and Attwell, D. 2012. Synaptic Energy Use and Supply. Neuron 75, 762–777, especially p. 764. </w:t>
      </w:r>
      <w:hyperlink r:id="rId39">
        <w:r>
          <w:rPr>
            <w:color w:val="000000"/>
            <w:u w:val="single"/>
          </w:rPr>
          <w:t xml:space="preserve">https://doi.org/10.1016/j.neuron.2012.08.019</w:t>
        </w:r>
      </w:hyperlink>
      <w:r>
        <w:rPr/>
        <w:t>.</w:t>
      </w:r>
      <w:r>
        <w:rPr/>
        <w:t xml:space="preserve"> Repository copy: </w:t>
      </w:r>
      <w:hyperlink r:id="rId40">
        <w:r>
          <w:rPr>
            <w:color w:val="000000"/>
            <w:u w:val="single"/>
          </w:rPr>
          <w:t xml:space="preserve">https://discovery.ucl.ac.uk/id/eprint/1368741/1/1368741.pdf</w:t>
        </w:r>
      </w:hyperlink>
      <w:r>
        <w:rPr/>
        <w:t>.</w:t>
      </w:r>
    </w:p>
    <w:p>
      <w:pPr>
        <w:pStyle w:val="Reference"/>
      </w:pPr>
      <w:r>
        <w:rPr/>
        <w:t xml:space="preserve">[C9] Boël, G., Danot, O., de Lorenzo, V., and Danchin, A. 2019. Omnipresent Maxwell’s demons orchestrate information management in living cells. Microbial Biotechnology 12, 210–242, especially pp. 234–235. </w:t>
      </w:r>
      <w:hyperlink r:id="rId41">
        <w:r>
          <w:rPr>
            <w:color w:val="000000"/>
            <w:u w:val="single"/>
          </w:rPr>
          <w:t xml:space="preserve">https://doi.org/10.1111/1751-7915.13378</w:t>
        </w:r>
      </w:hyperlink>
      <w:r>
        <w:rPr/>
        <w:t>.</w:t>
      </w:r>
    </w:p>
    <w:p>
      <w:pPr>
        <w:pStyle w:val="Reference"/>
      </w:pPr>
      <w:r>
        <w:rPr/>
        <w:t xml:space="preserve">[C10] Levy, W. B., and Calvert, V. G. 2021. Communication consumes 35 times more energy than computation in the human cortex but both costs are needed to predict synapse number. PNAS 118, e2008173118. </w:t>
      </w:r>
      <w:hyperlink r:id="rId42">
        <w:r>
          <w:rPr>
            <w:color w:val="000000"/>
            <w:u w:val="single"/>
          </w:rPr>
          <w:t xml:space="preserve">https://doi.org/10.1073/pnas.2008173118</w:t>
        </w:r>
      </w:hyperlink>
      <w:r>
        <w:rPr/>
        <w:t>.</w:t>
      </w:r>
      <w:r>
        <w:rPr/>
        <w:t xml:space="preserve"> </w:t>
      </w:r>
      <w:hyperlink r:id="rId43">
        <w:r>
          <w:rPr>
            <w:color w:val="000000"/>
            <w:u w:val="single"/>
          </w:rPr>
          <w:t xml:space="preserve">https://pmc.ncbi.nlm.nih.gov/articles/PMC8106317/</w:t>
        </w:r>
      </w:hyperlink>
      <w:r>
        <w:rPr/>
        <w:t>.</w:t>
      </w:r>
    </w:p>
    <w:p>
      <w:pPr>
        <w:pStyle w:val="Reference"/>
      </w:pPr>
      <w:r>
        <w:rPr/>
        <w:t xml:space="preserve">[C11] Jarzynski, C. 1997. Nonequilibrium Equality for Free Energy Differences. Physical Review Letters 78, 2690–2693. </w:t>
      </w:r>
      <w:hyperlink r:id="rId44">
        <w:r>
          <w:rPr>
            <w:color w:val="000000"/>
            <w:u w:val="single"/>
          </w:rPr>
          <w:t xml:space="preserve">https://doi.org/10.1103/PhysRevLett.78.2690</w:t>
        </w:r>
      </w:hyperlink>
      <w:r>
        <w:rPr/>
        <w:t>.</w:t>
      </w:r>
      <w:r>
        <w:rPr/>
        <w:t xml:space="preserve"> Original preprint: </w:t>
      </w:r>
      <w:hyperlink r:id="rId26">
        <w:r>
          <w:rPr>
            <w:color w:val="000000"/>
            <w:u w:val="single"/>
          </w:rPr>
          <w:t xml:space="preserve">https://arxiv.org/abs/cond-mat/9610209</w:t>
        </w:r>
      </w:hyperlink>
      <w:r>
        <w:rPr/>
        <w:t>.</w:t>
      </w:r>
    </w:p>
    <w:p>
      <w:pPr>
        <w:pStyle w:val="Reference"/>
      </w:pPr>
      <w:r>
        <w:rPr/>
        <w:t xml:space="preserve">[C12] Crooks, G. E. 1999. Entropy production fluctuation theorem and the nonequilibrium work relation for free energy differences. Physical Review E 60, 2721–2726. </w:t>
      </w:r>
      <w:hyperlink r:id="rId45">
        <w:r>
          <w:rPr>
            <w:color w:val="000000"/>
            <w:u w:val="single"/>
          </w:rPr>
          <w:t xml:space="preserve">https://doi.org/10.1103/PhysRevE.60.2721</w:t>
        </w:r>
      </w:hyperlink>
      <w:r>
        <w:rPr/>
        <w:t>.</w:t>
      </w:r>
      <w:r>
        <w:rPr/>
        <w:t xml:space="preserve"> </w:t>
      </w:r>
      <w:hyperlink r:id="rId46">
        <w:r>
          <w:rPr>
            <w:color w:val="000000"/>
            <w:u w:val="single"/>
          </w:rPr>
          <w:t xml:space="preserve">https://arxiv.org/abs/cond-mat/9901352</w:t>
        </w:r>
      </w:hyperlink>
      <w:r>
        <w:rPr/>
        <w:t>.</w:t>
      </w:r>
    </w:p>
    <w:p>
      <w:pPr>
        <w:pStyle w:val="Reference"/>
      </w:pPr>
      <w:r>
        <w:rPr/>
        <w:t xml:space="preserve">[C13] Zurek, W. H. 2003. Decoherence, einselection, and the quantum origins of the classical. Reviews of Modern Physics 75, 715–775. </w:t>
      </w:r>
      <w:hyperlink r:id="rId47">
        <w:r>
          <w:rPr>
            <w:color w:val="000000"/>
            <w:u w:val="single"/>
          </w:rPr>
          <w:t xml:space="preserve">https://doi.org/10.1103/RevModPhys.75.715</w:t>
        </w:r>
      </w:hyperlink>
      <w:r>
        <w:rPr/>
        <w:t>.</w:t>
      </w:r>
      <w:r>
        <w:rPr/>
        <w:t xml:space="preserve"> </w:t>
      </w:r>
      <w:hyperlink r:id="rId48">
        <w:r>
          <w:rPr>
            <w:color w:val="000000"/>
            <w:u w:val="single"/>
          </w:rPr>
          <w:t xml:space="preserve">https://arxiv.org/abs/quant-ph/0105127</w:t>
        </w:r>
      </w:hyperlink>
      <w:r>
        <w:rPr/>
        <w:t>.</w:t>
      </w:r>
    </w:p>
    <w:p>
      <w:pPr>
        <w:pStyle w:val="Reference"/>
      </w:pPr>
      <w:r>
        <w:rPr/>
        <w:t xml:space="preserve">[C14] Shannon, C. E. 1948. A Mathematical Theory of Communication. Bell System Technical Journal 27, 379–423 and 623–656. First installment: </w:t>
      </w:r>
      <w:hyperlink r:id="rId49">
        <w:r>
          <w:rPr>
            <w:color w:val="000000"/>
            <w:u w:val="single"/>
          </w:rPr>
          <w:t xml:space="preserve">https://doi.org/10.1002/j.1538-7305.1948.tb01338.x</w:t>
        </w:r>
      </w:hyperlink>
      <w:r>
        <w:rPr/>
        <w:t>.</w:t>
      </w:r>
      <w:r>
        <w:rPr/>
        <w:t xml:space="preserve"> Combined reprint: </w:t>
      </w:r>
      <w:hyperlink r:id="rId50">
        <w:r>
          <w:rPr>
            <w:color w:val="000000"/>
            <w:u w:val="single"/>
          </w:rPr>
          <w:t xml:space="preserve">https://web.mit.edu/6.976/www/handout/shannon.pdf</w:t>
        </w:r>
      </w:hyperlink>
      <w:r>
        <w:rPr/>
        <w:t>.</w:t>
      </w:r>
    </w:p>
    <w:p>
      <w:pPr>
        <w:pStyle w:val="Reference"/>
      </w:pPr>
      <w:r>
        <w:rPr/>
        <w:t xml:space="preserve">[C15] Seifert, U. 2005. Entropy Production along a Stochastic Trajectory and an Integral Fluctuation Theorem. Physical Review Letters 95, 040602. </w:t>
      </w:r>
      <w:hyperlink r:id="rId51">
        <w:r>
          <w:rPr>
            <w:color w:val="000000"/>
            <w:u w:val="single"/>
          </w:rPr>
          <w:t xml:space="preserve">https://doi.org/10.1103/PhysRevLett.95.040602</w:t>
        </w:r>
      </w:hyperlink>
      <w:r>
        <w:rPr/>
        <w:t>.</w:t>
      </w:r>
      <w:r>
        <w:rPr/>
        <w:t xml:space="preserve"> </w:t>
      </w:r>
      <w:hyperlink r:id="rId15">
        <w:r>
          <w:rPr>
            <w:color w:val="000000"/>
            <w:u w:val="single"/>
          </w:rPr>
          <w:t xml:space="preserve">https://arxiv.org/abs/cond-mat/0503686</w:t>
        </w:r>
      </w:hyperlink>
      <w:r>
        <w:rPr/>
        <w:t>.</w:t>
      </w:r>
    </w:p>
    <w:p>
      <w:pPr>
        <w:pStyle w:val="Reference"/>
      </w:pPr>
      <w:r>
        <w:rPr/>
        <w:t xml:space="preserve">[C16] Landauer, R. 1961. Irreversibility and Heat Generation in the Computing Process. IBM Journal of Research and Development 5, 183–191. </w:t>
      </w:r>
      <w:hyperlink r:id="rId22">
        <w:r>
          <w:rPr>
            <w:color w:val="000000"/>
            <w:u w:val="single"/>
          </w:rPr>
          <w:t xml:space="preserve">https://doi.org/10.1147/rd.53.0183</w:t>
        </w:r>
      </w:hyperlink>
      <w:r>
        <w:rPr/>
        <w:t>.</w:t>
      </w:r>
    </w:p>
    <w:p>
      <w:pPr>
        <w:pStyle w:val="Heading2"/>
        <w:pageBreakBefore/>
        <w:spacing w:before="280" w:after="220"/>
      </w:pPr>
      <w:bookmarkStart w:id="114" w:name="v1_l889"/>
      <w:r>
        <w:rPr>
          <w:sz w:val="36"/>
        </w:rPr>
        <w:t>References for Chapters 7 to 10</w:t>
      </w:r>
      <w:bookmarkEnd w:id="114"/>
    </w:p>
    <w:p>
      <w:pPr>
        <w:pStyle w:val="Reference"/>
      </w:pPr>
      <w:r>
        <w:rPr/>
        <w:t xml:space="preserve">[O1] Seifert, U. 2005. Entropy production along a stochastic trajectory and an integral fluctuation theorem. Physical Review Letters 95, 040602. </w:t>
      </w:r>
      <w:hyperlink r:id="rId51">
        <w:r>
          <w:rPr>
            <w:color w:val="000000"/>
            <w:u w:val="single"/>
          </w:rPr>
          <w:t xml:space="preserve">https://doi.org/10.1103/PhysRevLett.95.040602</w:t>
        </w:r>
      </w:hyperlink>
      <w:r>
        <w:rPr/>
        <w:t>.</w:t>
      </w:r>
      <w:r>
        <w:rPr/>
        <w:t xml:space="preserve"> Author preprint full text: </w:t>
      </w:r>
      <w:hyperlink r:id="rId52">
        <w:r>
          <w:rPr>
            <w:color w:val="000000"/>
            <w:u w:val="single"/>
          </w:rPr>
          <w:t xml:space="preserve">https://arxiv.org/html/cond-mat/0503686v1</w:t>
        </w:r>
      </w:hyperlink>
      <w:r>
        <w:rPr/>
        <w:t>.</w:t>
      </w:r>
      <w:r>
        <w:rPr/>
        <w:t xml:space="preserve"> Relevant scope: system–medium entropy balance and ensemble production for specified stochastic models; not a relational or biomarker calibration.</w:t>
      </w:r>
    </w:p>
    <w:p>
      <w:pPr>
        <w:pStyle w:val="Reference"/>
      </w:pPr>
      <w:r>
        <w:rPr/>
        <w:t xml:space="preserve">[O2] Landauer, R. 1961. Irreversibility and Heat Generation in the Computing Process. IBM Journal of Research and Development 5, 183–191. </w:t>
      </w:r>
      <w:hyperlink r:id="rId22">
        <w:r>
          <w:rPr>
            <w:color w:val="000000"/>
            <w:u w:val="single"/>
          </w:rPr>
          <w:t xml:space="preserve">https://doi.org/10.1147/rd.53.0183</w:t>
        </w:r>
      </w:hyperlink>
      <w:r>
        <w:rPr/>
        <w:t>.</w:t>
      </w:r>
      <w:r>
        <w:rPr/>
        <w:t xml:space="preserve"> Primary reprint: </w:t>
      </w:r>
      <w:hyperlink r:id="rId53">
        <w:r>
          <w:rPr>
            <w:color w:val="000000"/>
            <w:u w:val="single"/>
          </w:rPr>
          <w:t xml:space="preserve">https://www.cpt.univ-mrs.fr/~verga/pdfs/Landauer-1961uq.pdf</w:t>
        </w:r>
      </w:hyperlink>
      <w:r>
        <w:rPr/>
        <w:t>.</w:t>
      </w:r>
      <w:r>
        <w:rPr/>
        <w:t xml:space="preserve"> Relevant scope: physical information erasure under a specified memory model, not a universal price for every cognitive or social operation.</w:t>
      </w:r>
    </w:p>
    <w:p>
      <w:pPr>
        <w:pStyle w:val="Reference"/>
      </w:pPr>
      <w:r>
        <w:rPr/>
        <w:t xml:space="preserve">[O3] Bennett, C. H. 1973. Logical Reversibility of Computation. IBM Journal of Research and Development 17, 525–532. </w:t>
      </w:r>
      <w:hyperlink r:id="rId30">
        <w:r>
          <w:rPr>
            <w:color w:val="000000"/>
            <w:u w:val="single"/>
          </w:rPr>
          <w:t xml:space="preserve">https://doi.org/10.1147/rd.176.0525</w:t>
        </w:r>
      </w:hyperlink>
      <w:r>
        <w:rPr/>
        <w:t>.</w:t>
      </w:r>
      <w:r>
        <w:rPr/>
        <w:t xml:space="preserve"> University-hosted primary text: </w:t>
      </w:r>
      <w:hyperlink r:id="rId21">
        <w:r>
          <w:rPr>
            <w:color w:val="000000"/>
            <w:u w:val="single"/>
          </w:rPr>
          <w:t xml:space="preserve">https://www.cs.princeton.edu/courses/archive/fall04/cos576/papers/bennett73.html</w:t>
        </w:r>
      </w:hyperlink>
      <w:r>
        <w:rPr/>
        <w:t>.</w:t>
      </w:r>
      <w:r>
        <w:rPr/>
        <w:t xml:space="preserve"> Relevant scope: reversible computation with retained input and reversible disposal of intermediate records; no claim that naming an operation compression proves physical erasure.</w:t>
      </w:r>
    </w:p>
    <w:p>
      <w:pPr>
        <w:pStyle w:val="Reference"/>
      </w:pPr>
      <w:r>
        <w:rPr/>
        <w:t xml:space="preserve">[O4] Shannon, C. E. 1948. A Mathematical Theory of Communication. Bell System Technical Journal 27, 379–423 and 623–656. First installment DOI: </w:t>
      </w:r>
      <w:hyperlink r:id="rId49">
        <w:r>
          <w:rPr>
            <w:color w:val="000000"/>
            <w:u w:val="single"/>
          </w:rPr>
          <w:t xml:space="preserve">https://doi.org/10.1002/j.1538-7305.1948.tb01338.x</w:t>
        </w:r>
      </w:hyperlink>
      <w:r>
        <w:rPr/>
        <w:t>.</w:t>
      </w:r>
      <w:r>
        <w:rPr/>
        <w:t xml:space="preserve"> Combined primary reprint: </w:t>
      </w:r>
      <w:hyperlink r:id="rId50">
        <w:r>
          <w:rPr>
            <w:color w:val="000000"/>
            <w:u w:val="single"/>
          </w:rPr>
          <w:t xml:space="preserve">https://web.mit.edu/6.976/www/handout/shannon.pdf</w:t>
        </w:r>
      </w:hyperlink>
      <w:r>
        <w:rPr/>
        <w:t>.</w:t>
      </w:r>
      <w:r>
        <w:rPr/>
        <w:t xml:space="preserve"> Relevant scope: distribution-based information measures and communication, not a measure of relational worth or phenomenal comprehension.</w:t>
      </w:r>
    </w:p>
    <w:p>
      <w:pPr>
        <w:pStyle w:val="Reference"/>
      </w:pPr>
      <w:r>
        <w:rPr/>
        <w:t xml:space="preserve">[O5] Kolchinsky, A., and Wolpert, D. H. 2018. Semantic information, autonomous agency and non-equilibrium statistical physics. Interface Focus 8, 20180041. </w:t>
      </w:r>
      <w:hyperlink r:id="rId36">
        <w:r>
          <w:rPr>
            <w:color w:val="000000"/>
            <w:u w:val="single"/>
          </w:rPr>
          <w:t xml:space="preserve">https://doi.org/10.1098/rsfs.2018.0041</w:t>
        </w:r>
      </w:hyperlink>
      <w:r>
        <w:rPr/>
        <w:t>.</w:t>
      </w:r>
      <w:r>
        <w:rPr/>
        <w:t xml:space="preserve"> Final author preprint: </w:t>
      </w:r>
      <w:hyperlink r:id="rId54">
        <w:r>
          <w:rPr>
            <w:color w:val="000000"/>
            <w:u w:val="single"/>
          </w:rPr>
          <w:t xml:space="preserve">https://arxiv.org/html/1806.08053v3</w:t>
        </w:r>
      </w:hyperlink>
      <w:r>
        <w:rPr/>
        <w:t>.</w:t>
      </w:r>
      <w:r>
        <w:rPr/>
        <w:t xml:space="preserve"> Relevant sections: III, IV, V.1–V.3 and VII. The relational application remains unvalidated; this source is not a clinical or consciousness instrument.</w:t>
      </w:r>
    </w:p>
    <w:p>
      <w:pPr>
        <w:pStyle w:val="Reference"/>
      </w:pPr>
      <w:r>
        <w:rPr/>
        <w:t xml:space="preserve">[O6] O’Connor, M.-F., Wellisch, D. K., Stanton, A. L., Olmstead, R., and Irwin, M. R. 2012. Diurnal cortisol in Complicated and Non-Complicated Grief: Slope Differences across the Day. Psychoneuroendocrinology 37, 725–728. </w:t>
      </w:r>
      <w:hyperlink r:id="rId55">
        <w:r>
          <w:rPr>
            <w:color w:val="000000"/>
            <w:u w:val="single"/>
          </w:rPr>
          <w:t xml:space="preserve">https://doi.org/10.1016/j.psyneuen.2011.08.009</w:t>
        </w:r>
      </w:hyperlink>
      <w:r>
        <w:rPr/>
        <w:t>.</w:t>
      </w:r>
      <w:r>
        <w:rPr/>
        <w:t xml:space="preserve"> Primary text: </w:t>
      </w:r>
      <w:hyperlink r:id="rId56">
        <w:r>
          <w:rPr>
            <w:color w:val="000000"/>
            <w:u w:val="single"/>
          </w:rPr>
          <w:t xml:space="preserve">https://pmc.ncbi.nlm.nih.gov/articles/PMC3258306/</w:t>
        </w:r>
      </w:hyperlink>
      <w:r>
        <w:rPr/>
        <w:t>.</w:t>
      </w:r>
      <w:r>
        <w:rPr/>
        <w:t xml:space="preserve"> Published online in 2011. Relevant scope: a small observational group comparison; no calorimetry, entropy measurement or universal bereavement trajectory.</w:t>
      </w:r>
    </w:p>
    <w:p>
      <w:pPr>
        <w:pStyle w:val="Reference"/>
      </w:pPr>
      <w:r>
        <w:rPr/>
        <w:t xml:space="preserve">[O7] Harrison, O., Windmann, S., Rosner, R., and Steil, R. 2022. Inclusion of the other in the self as a potential risk factor for prolonged grief disorder: A comparison of patients with matched bereaved healthy controls. Clinical Psychology &amp; Psychotherapy 29, 1101–1112. </w:t>
      </w:r>
      <w:hyperlink r:id="rId57">
        <w:r>
          <w:rPr>
            <w:color w:val="000000"/>
            <w:u w:val="single"/>
          </w:rPr>
          <w:t xml:space="preserve">https://doi.org/10.1002/cpp.2697</w:t>
        </w:r>
      </w:hyperlink>
      <w:r>
        <w:rPr/>
        <w:t>.</w:t>
      </w:r>
      <w:r>
        <w:rPr/>
        <w:t xml:space="preserve"> Publisher full text: </w:t>
      </w:r>
      <w:hyperlink r:id="rId58">
        <w:r>
          <w:rPr>
            <w:color w:val="000000"/>
            <w:u w:val="single"/>
          </w:rPr>
          <w:t xml:space="preserve">https://onlinelibrary.wiley.com/doi/full/10.1002/cpp.2697</w:t>
        </w:r>
      </w:hyperlink>
      <w:r>
        <w:rPr/>
        <w:t>.</w:t>
      </w:r>
      <w:r>
        <w:rPr/>
        <w:t xml:space="preserve"> First published online 25 November 2021. Relevant scope: current self-reported inclusion in a cross-sectional comparison, not prospective causal prediction or measured physical integration.</w:t>
      </w:r>
    </w:p>
    <w:p>
      <w:pPr>
        <w:pStyle w:val="Reference"/>
      </w:pPr>
      <w:r>
        <w:rPr/>
        <w:t xml:space="preserve">[O8] Chalmers, D. J. 1995. Facing Up to the Problem of Consciousness. Journal of Consciousness Studies 2, 200–219. Author full text: </w:t>
      </w:r>
      <w:hyperlink r:id="rId59">
        <w:r>
          <w:rPr>
            <w:color w:val="000000"/>
            <w:u w:val="single"/>
          </w:rPr>
          <w:t xml:space="preserve">https://consc.net/papers/facing.html</w:t>
        </w:r>
      </w:hyperlink>
      <w:r>
        <w:rPr/>
        <w:t>.</w:t>
      </w:r>
      <w:r>
        <w:rPr/>
        <w:t xml:space="preserve"> Relevant scope: a philosophical distinction and proposed explanatory approach, not an experimental finding or a permanent physical impossibility theorem.</w:t>
      </w:r>
    </w:p>
    <w:p>
      <w:pPr>
        <w:pStyle w:val="Reference"/>
      </w:pPr>
      <w:r>
        <w:rPr/>
        <w:t>These are primary research, theoretical or philosophical sources. The internal papers and revised volumes named in the chapters supply project context only. They are not independent support for scientific claims.</w:t>
      </w:r>
    </w:p>
    <w:p>
      <w:pPr>
        <w:pStyle w:val="Heading3"/>
      </w:pPr>
      <w:bookmarkStart w:id="115" w:name="v1_l909"/>
      <w:r>
        <w:rPr>
          <w:sz w:val="26"/>
        </w:rPr>
        <w:t>Source access and scope</w:t>
      </w:r>
      <w:bookmarkEnd w:id="115"/>
    </w:p>
    <w:p>
      <w:pPr>
        <w:pStyle w:val="Reference"/>
      </w:pPr>
      <w:r>
        <w:rPr/>
        <w:t>The earlier Penrose and Chaisson book passages were not directly inspected in the underlying review; retained claims use the explicitly identified papers instead. Historical cosmological and energy-rate-density examples are not updated censuses or universal constants. The source review was targeted, not a systematic literature review. AI scientific and editorial checks are not human peer review or experimental validation.</w:t>
      </w:r>
    </w:p>
    <w:p>
      <w:pPr>
        <w:pStyle w:val="Heading1"/>
        <w:pageBreakBefore/>
        <w:spacing w:before="2000"/>
        <w:jc w:val="center"/>
      </w:pPr>
      <w:bookmarkStart w:id="116" w:name="v2_l1"/>
      <w:r>
        <w:rPr>
          <w:sz w:val="50"/>
        </w:rPr>
        <w:t>Entropy Volume 2</w:t>
      </w:r>
      <w:bookmarkEnd w:id="116"/>
    </w:p>
    <w:p>
      <w:pPr>
        <w:pStyle w:val="Subtitle"/>
      </w:pPr>
      <w:bookmarkStart w:id="117" w:name="v2_l3"/>
      <w:r>
        <w:t>The Biological Cost Architecture</w:t>
      </w:r>
      <w:bookmarkEnd w:id="117"/>
    </w:p>
    <w:p>
      <w:pPr>
        <w:pStyle w:val="BookMetadata"/>
      </w:pPr>
      <w:r>
        <w:rPr/>
        <w:t>Second edition</w:t>
      </w:r>
    </w:p>
    <w:p>
      <w:pPr>
        <w:pStyle w:val="BookMetadata"/>
      </w:pPr>
      <w:r>
        <w:rPr/>
        <w:t>Michael S. Moniz</w:t>
      </w:r>
    </w:p>
    <w:p>
      <w:pPr>
        <w:pStyle w:val="BookMetadata"/>
      </w:pPr>
      <w:r>
        <w:rPr/>
        <w:t>Trinket Soul Framework</w:t>
      </w:r>
    </w:p>
    <w:p>
      <w:pPr>
        <w:pStyle w:val="BookMetadata"/>
      </w:pPr>
      <w:r>
        <w:rPr/>
        <w:t>October 2026</w:t>
      </w:r>
    </w:p>
    <w:p>
      <w:pPr>
        <w:pStyle w:val="Heading2"/>
        <w:pageBreakBefore/>
        <w:spacing w:before="280" w:after="220"/>
      </w:pPr>
      <w:bookmarkStart w:id="118" w:name="v2_l13"/>
      <w:r>
        <w:rPr>
          <w:sz w:val="36"/>
        </w:rPr>
        <w:t>About this volume</w:t>
      </w:r>
      <w:bookmarkEnd w:id="118"/>
    </w:p>
    <w:p>
      <w:pPr/>
      <w:r>
        <w:rPr/>
        <w:t>This volume asks how relationships are embodied and what it means to describe their costs. It separates physiological observations, reported effort, physical resource measurements and relational interpretation. A cortisol value is not a caloric bill, an effort rating is not thermodynamic work, and a grief metaphor is not a clinical mechanism.</w:t>
      </w:r>
    </w:p>
    <w:p>
      <w:pPr/>
      <w:r>
        <w:rPr/>
        <w:t>Reference groups B and A are local to this volume. This work is not medical advice, a diagnostic instrument or a treatment protocol. Its developmental and grief proposals do not establish clinical mechanisms or justify ranking people.</w:t>
      </w:r>
    </w:p>
    <w:p>
      <w:pPr>
        <w:pStyle w:val="Heading3"/>
      </w:pPr>
      <w:bookmarkStart w:id="119" w:name="v2_l19"/>
      <w:r>
        <w:rPr>
          <w:sz w:val="26"/>
        </w:rPr>
        <w:t>Edition and attribution</w:t>
      </w:r>
      <w:bookmarkEnd w:id="119"/>
    </w:p>
    <w:p>
      <w:pPr/>
      <w:r>
        <w:rPr/>
        <w:t>The seven original chapters credit Michael S. Moniz with Sigma, Deep Floor v4.0, and carry March 22, 2026. The selected complete-volume branch retains the caution against interpreting grief as cosmic sacrifice and the chapter title Where the Receipt Lands.</w:t>
      </w:r>
    </w:p>
    <w:p>
      <w:pPr/>
      <w:r>
        <w:rPr/>
        <w:t>The second-edition revision was prepared with AI assistance from CosmoDot, with separate AI scientific and editorial checks. It has not undergone human peer review and reports no new experiments. Historical AI collaborator labels document provenance; they do not identify underlying models or attribute the new text to those earlier collaborators. The framework’s proposed applications remain subject to specialist review and empirical testing.</w:t>
      </w:r>
    </w:p>
    <w:p>
      <w:pPr/>
      <w:r>
        <w:rPr/>
        <w:t xml:space="preserve">The </w:t>
      </w:r>
      <w:hyperlink r:id="rId60">
        <w:r>
          <w:rPr>
            <w:color w:val="000000"/>
            <w:u w:val="single"/>
          </w:rPr>
          <w:t xml:space="preserve">historical edition</w:t>
        </w:r>
      </w:hyperlink>
      <w:r>
        <w:rPr/>
        <w:t xml:space="preserve"> remains preserved. This text continues under </w:t>
      </w:r>
      <w:hyperlink r:id="rId10">
        <w:r>
          <w:rPr>
            <w:color w:val="000000"/>
            <w:u w:val="single"/>
          </w:rPr>
          <w:t xml:space="preserve">Creative Commons Attribution–NonCommercial–ShareAlike 4.0 International</w:t>
        </w:r>
      </w:hyperlink>
      <w:r>
        <w:rPr/>
        <w:t>. Detailed correction records are distinct from the reading text; publishing this volume does not silently amend the framework’s separate papers or complete its historical governance procedures.</w:t>
      </w:r>
    </w:p>
    <w:p>
      <w:pPr>
        <w:pStyle w:val="Heading2"/>
        <w:pageBreakBefore/>
        <w:spacing w:before="280" w:after="220"/>
      </w:pPr>
      <w:bookmarkStart w:id="120" w:name="v2_l31"/>
      <w:r>
        <w:rPr>
          <w:sz w:val="36"/>
        </w:rPr>
        <w:t>Chapter 1 The Problem</w:t>
      </w:r>
      <w:bookmarkEnd w:id="120"/>
    </w:p>
    <w:p>
      <w:pPr>
        <w:pStyle w:val="Heading3"/>
      </w:pPr>
      <w:bookmarkStart w:id="121" w:name="v2_l33"/>
      <w:r>
        <w:rPr>
          <w:sz w:val="26"/>
        </w:rPr>
        <w:t>What Does It Cost to Feel</w:t>
      </w:r>
      <w:bookmarkEnd w:id="121"/>
    </w:p>
    <w:p>
      <w:pPr/>
      <w:r>
        <w:rPr/>
        <w:t>Epistemic status: Biological activity requires metabolic resources. Particular studies support particular physiological associations and mechanisms; they do not establish a universal bodily price for feeling. The transducer, Cost Substrate and Moniz remain framework proposals, not validated biological or clinical instruments.</w:t>
      </w:r>
    </w:p>
    <w:p>
      <w:pPr/>
      <w:r>
        <w:rPr/>
        <w:t>“Love reduces the entropy of the system and spends more than it saves.”</w:t>
      </w:r>
    </w:p>
    <w:p>
      <w:pPr/>
      <w:r>
        <w:rPr/>
        <w:t>— The Principal, March 17, 2026</w:t>
      </w:r>
    </w:p>
    <w:p>
      <w:pPr>
        <w:pStyle w:val="Heading3"/>
      </w:pPr>
      <w:bookmarkStart w:id="122" w:name="v2_l41"/>
      <w:r>
        <w:rPr>
          <w:sz w:val="26"/>
        </w:rPr>
        <w:t>1 What Volume 1 left open</w:t>
      </w:r>
      <w:bookmarkEnd w:id="122"/>
    </w:p>
    <w:p>
      <w:pPr/>
      <w:r>
        <w:rPr/>
        <w:t>Volume 1 asked us to notice what supports an act of connection. A person attends, interprets and responds. Bodies and devices use resources. The transducer gives that activity a proposed shape: selection, compression and structuring. The corrected physical account does not make the Trinket a measured entropy token or establish that every relational act spends more than it saves. The founding line remains the framework's motivating image, not a consequence of the second law.</w:t>
      </w:r>
    </w:p>
    <w:p>
      <w:pPr/>
      <w:r>
        <w:rPr/>
        <w:t>What does the expenditure look like in a biological life? That question belongs here. Time, reported effort, metabolic energy and physiological change can all matter, but they are different observations. Cortisol concentration, immune function, sleep and measures associated with aging are not denominations of one currency. Nor must a body become damaged to make an act of care genuine.</w:t>
      </w:r>
    </w:p>
    <w:p>
      <w:pPr/>
      <w:r>
        <w:rPr/>
        <w:t>This volume follows the question into the body without pretending that the conversion has already been made. It asks what can be observed, which findings are specific to a population or task, and where the framework is still proposing an interpretation.</w:t>
      </w:r>
    </w:p>
    <w:p>
      <w:pPr>
        <w:pStyle w:val="Heading3"/>
      </w:pPr>
      <w:bookmarkStart w:id="123" w:name="v2_l49"/>
      <w:r>
        <w:rPr>
          <w:sz w:val="26"/>
        </w:rPr>
        <w:t>2 The body as ledger</w:t>
      </w:r>
      <w:bookmarkEnd w:id="123"/>
    </w:p>
    <w:p>
      <w:pPr/>
      <w:r>
        <w:rPr/>
        <w:t>A feeling can involve changing bodily and neural processes rather than a static condition alone. But there is no single established sequence in which the amygdala always acts first, the body follows, and the cortex supplies a label. In one narrow counterexample to an indispensable amygdala route, three people with bilateral amygdala damage experienced fear and panic during a carbon-dioxide challenge. That finding does not supply a complete theory of emotion. It does show why one route should not stand for every feeling. [B19]</w:t>
      </w:r>
    </w:p>
    <w:p>
      <w:pPr/>
      <w:r>
        <w:rPr/>
        <w:t>The stress systems also need their own names. In the hypothalamic–pituitary–adrenal pathway, hypothalamic signals including corticotropin-releasing hormone stimulate pituitary ACTH, which stimulates cortisol secretion from the adrenal cortex. Adrenaline belongs to sympathetic–adrenal-medullary signaling, not to a list of substances all released by the HPA axis. Oxytocin is not a compulsory next step in either pathway. Responses depend on the situation and the measurement interval. [B9, B10, B23]</w:t>
      </w:r>
    </w:p>
    <w:p>
      <w:pPr/>
      <w:r>
        <w:rPr/>
        <w:t>These processes have physical implementations and require metabolic support. A physiological response, however, is not a receipt assigning a known energy cost to one relationship. A body is already active before a message arrives. To estimate an additional cost, we would need an interval, a boundary and an appropriate comparison. The body-as-ledger image is useful only while those distinctions remain visible.</w:t>
      </w:r>
    </w:p>
    <w:p>
      <w:pPr/>
      <w:r>
        <w:rPr/>
        <w:t>The brain has a substantial ongoing energy requirement. Levy and Calvert's energy audit discusses the familiar roughly 20-watt whole-brain estimate while distinguishing glucose energy from ATP power and cortical subcomponents. Its approximately 35-to-1 communication-to-computation ratio is a modeled allocation within their cortical account. Neural communication in that calculation is not interpersonal communication. The study does not establish that relational regions are the hungriest parts of the brain, or that the brain is the most expensive organ or hardware in existence. [B4]</w:t>
      </w:r>
    </w:p>
    <w:p>
      <w:pPr>
        <w:pStyle w:val="Heading3"/>
      </w:pPr>
      <w:bookmarkStart w:id="124" w:name="v2_l59"/>
      <w:r>
        <w:rPr>
          <w:sz w:val="26"/>
        </w:rPr>
        <w:t>3 The counterintuitive efficiency question</w:t>
      </w:r>
      <w:bookmarkEnd w:id="124"/>
    </w:p>
    <w:p>
      <w:pPr/>
      <w:r>
        <w:rPr/>
        <w:t>The Biological Efficiency Note raised a useful challenge: do not assume that silicon is efficient and biology wasteful merely from their appearance or speed. The reverse universal ranking is no better established.</w:t>
      </w:r>
    </w:p>
    <w:p>
      <w:pPr/>
      <w:r>
        <w:rPr/>
        <w:t>The former comparisons—one million versus one billion times a Landauer reference, a thousandfold biological advantage, and a thirty-millionfold cellular advantage—combine unlike operations and boundaries. They are not retained as measurements of relational processing. A neural spike, a transmitted information bit, a transistor switch and an erased memory bit are not the same task. Dividing their energy estimates by a common number does not make them equivalent.</w:t>
      </w:r>
    </w:p>
    <w:p>
      <w:pPr/>
      <w:r>
        <w:rPr/>
        <w:t>Landauer's familiar benchmark concerns a specified physical erasure operation. Bennett's reversible-computation construction also shows why calling an activity selection, compression or structuring does not identify a compulsory erasure. Neither result supplies a universal biological amplification factor. [B1–B3]</w:t>
      </w:r>
    </w:p>
    <w:p>
      <w:pPr/>
      <w:r>
        <w:rPr/>
        <w:t>A defensible comparison would match the task and performance requirements, then state the energy boundary, time interval and supporting resources. The revised Volume 4 follows that approach. Evolutionary history does not guarantee that every biological process is optimally efficient or that no engineered system can outperform it on a defined task. We can respect the complexity of the body without giving it an unsupported place at the top of a ranking.</w:t>
      </w:r>
    </w:p>
    <w:p>
      <w:pPr>
        <w:pStyle w:val="Heading3"/>
      </w:pPr>
      <w:bookmarkStart w:id="125" w:name="v2_l69"/>
      <w:r>
        <w:rPr>
          <w:sz w:val="26"/>
        </w:rPr>
        <w:t>4 What this volume maps</w:t>
      </w:r>
      <w:bookmarkEnd w:id="125"/>
    </w:p>
    <w:p>
      <w:pPr/>
      <w:r>
        <w:rPr/>
        <w:t>This volume examines biological responses associated with connection, conflict and loss, and the framework's proposed ways of describing them. It keeps the measured variables separate from the meaning assigned to them.</w:t>
      </w:r>
    </w:p>
    <w:p>
      <w:pPr/>
      <w:r>
        <w:rPr/>
        <w:t>Chapter 2 develops the feeling-as-cost question. It distinguishes interacting physiological processes from a universal cascade, and Signal Form from the resources supporting it. That distinction does not make biomarkers a test of sincerity or experience.</w:t>
      </w:r>
    </w:p>
    <w:p>
      <w:pPr/>
      <w:r>
        <w:rPr/>
        <w:t>Chapter 3 returns the Moniz to its original role as a thinking tool. Resistance reported on a 1–10 scale and duration in minutes can form a conventional index. They do not presently measure energy, entropy production or a cosmological constant.</w:t>
      </w:r>
    </w:p>
    <w:p>
      <w:pPr/>
      <w:r>
        <w:rPr/>
        <w:t>Chapter 4 examines the Template Tax: the proposal that habits formed in one relational environment may persist in another. The filter image organizes a question about development and adaptation; it does not identify a unique biological mechanism or diagnose a person.</w:t>
      </w:r>
    </w:p>
    <w:p>
      <w:pPr/>
      <w:r>
        <w:rPr/>
        <w:t>Chapter 5 considers expenditure without the intended registration or response. Delivery, recognition, benefit and reciprocity need separate accounts. Unwitnessed care can have practical effects, and unreciprocated investment has not been shown to constitute a new thermodynamic regime outside Kolchinsky and Wolpert's framework. [B7]</w:t>
      </w:r>
    </w:p>
    <w:p>
      <w:pPr/>
      <w:r>
        <w:rPr/>
        <w:t>Chapter 6 examines grief through the image of filter redesign under load. It asks whether separately measured behavioral interdependence helps explain specified outcomes after bereavement. It does not establish grief as the most expensive biological process, reduce it to a broken filter, or claim that the proposed comparison has never been studied.</w:t>
      </w:r>
    </w:p>
    <w:p>
      <w:pPr/>
      <w:r>
        <w:rPr/>
        <w:t>Chapter 7 traces the implications for the framework's existing claims and instruments. A dependency map identifies work still needed; it is not a certificate that the canon has been validated.</w:t>
      </w:r>
    </w:p>
    <w:p>
      <w:pPr/>
      <w:r>
        <w:rPr/>
        <w:t>The effort can matter even when the connection does not land. This volume asks how to describe that effort without turning every bodily change into a bill, or every bill into a judgment of worth.</w:t>
      </w:r>
    </w:p>
    <w:p>
      <w:pPr>
        <w:pStyle w:val="Heading3"/>
      </w:pPr>
      <w:bookmarkStart w:id="126" w:name="v2_l87"/>
      <w:r>
        <w:rPr>
          <w:sz w:val="26"/>
        </w:rPr>
        <w:t>Behind the Substrate Barrier</w:t>
      </w:r>
      <w:bookmarkEnd w:id="126"/>
    </w:p>
    <w:p>
      <w:pPr/>
      <w:r>
        <w:rPr/>
        <w:t>The BSB limits an inference from physical or operational observations to phenomenal experience. It does not automatically validate claims placed “in front” of the barrier. Cortisol, immune measures, heart-rate variability and sleep require ordinary scientific scrutiny; none currently supplies the framework with a calibrated entropy reading. A person's reported experience also remains evidence about that report rather than disappearing because its thermodynamic cost is unknown.</w:t>
      </w:r>
    </w:p>
    <w:p>
      <w:pPr/>
      <w:r>
        <w:rPr/>
        <w:t>No clinical validation is claimed.</w:t>
      </w:r>
    </w:p>
    <w:p>
      <w:pPr>
        <w:pStyle w:val="Heading2"/>
        <w:pageBreakBefore/>
        <w:spacing w:before="280" w:after="220"/>
      </w:pPr>
      <w:bookmarkStart w:id="127" w:name="v2_l93"/>
      <w:r>
        <w:rPr>
          <w:sz w:val="36"/>
        </w:rPr>
        <w:t>Chapter 2 The Feeling as Cost</w:t>
      </w:r>
      <w:bookmarkEnd w:id="127"/>
    </w:p>
    <w:p>
      <w:pPr>
        <w:pStyle w:val="Heading3"/>
      </w:pPr>
      <w:bookmarkStart w:id="128" w:name="v2_l95"/>
      <w:r>
        <w:rPr>
          <w:sz w:val="26"/>
        </w:rPr>
        <w:t>Bodily processes and the distinction between signal and expenditure</w:t>
      </w:r>
      <w:bookmarkEnd w:id="128"/>
    </w:p>
    <w:p>
      <w:pPr/>
      <w:r>
        <w:rPr/>
        <w:t>Epistemic status: The cited experiments and observational studies support bounded claims about physiology, not a universal emotion sequence or a calorimeter for relational investment. Signal Form and Cost Substrate are proposed descriptions. Their use as diagnostic instruments has not been validated. SupoRel remains applicable to inferences about authenticity, experience and worth.</w:t>
      </w:r>
    </w:p>
    <w:p>
      <w:pPr>
        <w:pStyle w:val="Heading3"/>
      </w:pPr>
      <w:bookmarkStart w:id="129" w:name="v2_l99"/>
      <w:r>
        <w:rPr>
          <w:sz w:val="26"/>
        </w:rPr>
        <w:t>1 A feeling unfolds</w:t>
      </w:r>
      <w:bookmarkEnd w:id="129"/>
    </w:p>
    <w:p>
      <w:pPr/>
      <w:r>
        <w:rPr/>
        <w:t>The language people use for feelings is often spatial and static. “I am in a good mood.” “She is in grief.” The metaphors treat feelings as places we enter and leave. Looking at the body reminds us that a reported state can also have a changing history.</w:t>
      </w:r>
    </w:p>
    <w:p>
      <w:pPr/>
      <w:r>
        <w:rPr/>
        <w:t>The earlier description of a feeling as a cascade captured that movement but made the sequence too certain. Emotional episodes can involve perception, appraisal, bodily regulation, action and reports of experience. A short autonomic response, a changing hormone concentration and months of adjustment after a loss are not simply consecutive stages of one measured process. Their relationships need evidence at the relevant timescale.</w:t>
      </w:r>
    </w:p>
    <w:p>
      <w:pPr/>
      <w:r>
        <w:rPr/>
        <w:t>The physical processes supporting an episode use resources. That does not tell us its additional metabolic cost, whether it is harmful, or what it feels like. Those questions should remain distinguishable from the beginning.</w:t>
      </w:r>
    </w:p>
    <w:p>
      <w:pPr>
        <w:pStyle w:val="Heading3"/>
      </w:pPr>
      <w:bookmarkStart w:id="130" w:name="v2_l107"/>
      <w:r>
        <w:rPr>
          <w:sz w:val="26"/>
        </w:rPr>
        <w:t>2 Processes rather than a compulsory sequence</w:t>
      </w:r>
      <w:bookmarkEnd w:id="130"/>
    </w:p>
    <w:p>
      <w:pPr/>
      <w:r>
        <w:rPr>
          <w:b/>
        </w:rPr>
        <w:t>Stimulus and appraisal.</w:t>
      </w:r>
      <w:r>
        <w:rPr/>
        <w:t xml:space="preserve"> The amygdala participates in some responses to emotionally relevant stimuli, but an amygdala-first route is not a universal prerequisite for feeling. The carbon-dioxide challenge in people with bilateral amygdala lesions illustrates that limit. The study concerns an interoceptive threat challenge, not every kind of fear or affiliation. [B19]</w:t>
      </w:r>
    </w:p>
    <w:p>
      <w:pPr/>
      <w:r>
        <w:rPr>
          <w:b/>
        </w:rPr>
        <w:t>Autonomic response.</w:t>
      </w:r>
      <w:r>
        <w:rPr/>
        <w:t xml:space="preserve"> Heart rate, respiration and skin conductance can change during an emotional or stressful task. Their direction and timing depend on the response and the measure. A change need not precede every conscious report, and sympathetic and parasympathetic activity should not be treated as a single on-switch. The Trier Social Stress Test demonstrated changes in endocrine measures and heart rate under a specified laboratory stress procedure; it did not establish one sequence for all feelings. [B10]</w:t>
      </w:r>
    </w:p>
    <w:p>
      <w:pPr/>
      <w:r>
        <w:rPr>
          <w:b/>
        </w:rPr>
        <w:t>Endocrine signaling.</w:t>
      </w:r>
      <w:r>
        <w:rPr/>
        <w:t xml:space="preserve"> The HPA pathway includes CRH, pituitary ACTH and adrenal-cortical cortisol. Sympathetic–adrenal-medullary signaling involves catecholamines such as adrenaline. Oxytocin, dopamine and serotonin have distinct signaling systems; they are not obligatory products of one HPA cascade. Molecular synthesis, signaling and restoration of cellular conditions involve physical resources, but receptor binding is not invariably a gene-expression event. A cortisol concentration alone does not quantify the energy spent producing or responding to it. [B9, B10, B23]</w:t>
      </w:r>
    </w:p>
    <w:p>
      <w:pPr/>
      <w:r>
        <w:rPr>
          <w:b/>
        </w:rPr>
        <w:t>Interoception and interpretation.</w:t>
      </w:r>
      <w:r>
        <w:rPr/>
        <w:t xml:space="preserve"> Research on heartbeat perception has linked interoceptive performance to activity in particular brain regions, including the right anterior insula. It supports investigation of bodily representation, not a proof that every feeling is a body signal followed by a cortical label. [B16] Damasio's somatic-marker account and Barrett's constructed-emotion account offer different theoretical ways to connect bodily regulation, representation and experience. They remain theoretical commitments rather than a settled sequence adopted by this chapter. [B21, B22]</w:t>
      </w:r>
    </w:p>
    <w:p>
      <w:pPr/>
      <w:r>
        <w:rPr/>
        <w:t>Damasio's proposed “as-if body loop” is relevant to the framework's questions about representation. It does not establish that a simulated body state is always metabolically cheaper than a peripheral response. Nor does either theory show that a named cognitive operation pays a separately countable Landauer charge. Identifying such a charge requires a physical memory operation and an appropriate model. [B1–B3, B21]</w:t>
      </w:r>
    </w:p>
    <w:p>
      <w:pPr>
        <w:pStyle w:val="Heading3"/>
      </w:pPr>
      <w:bookmarkStart w:id="131" w:name="v2_l119"/>
      <w:r>
        <w:rPr>
          <w:sz w:val="26"/>
        </w:rPr>
        <w:t>3 The metabolic bill and the physiological findings</w:t>
      </w:r>
      <w:bookmarkEnd w:id="131"/>
    </w:p>
    <w:p>
      <w:pPr/>
      <w:r>
        <w:rPr/>
        <w:t>Maintaining a relational life can involve time, reported effort, physical activity and changes in health-related measures. These should not be added as though they were all calories. Immune function is not a fuel reserve, and a biomarker associated with stress is not the amount of energy a relationship consumed.</w:t>
      </w:r>
    </w:p>
    <w:p>
      <w:pPr/>
      <w:r>
        <w:rPr/>
        <w:t>Stress–immune relationships are more specific than a chain from elevated cortisol to generalized suppression. In two human viral-challenge studies, Cohen and colleagues examined chronic stress, glucocorticoid resistance and inflammatory responses. Their findings support a role for impaired regulation of inflammation under those study conditions, not a universal rule that more circulating cortisol means less immune function. The stress exposure was not randomly assigned. [B11]</w:t>
      </w:r>
    </w:p>
    <w:p>
      <w:pPr/>
      <w:r>
        <w:rPr/>
        <w:t>Bereavement findings also vary by measure and population. In a small observational study, Vitlic and colleagues found lower neutrophil oxidative-burst function in the older bereaved subgroup, not the younger subgroup, compared with their respective controls. The age-by-bereavement interaction was not statistically significant, so this does not establish that age determines the association. It was a specific immune-cell assay, not a measurement of the entire immune system or proof that grief caused the difference. It does not establish a universal two-to-six-week peak in immune suppression or a fixed recovery schedule. [B12]</w:t>
      </w:r>
    </w:p>
    <w:p>
      <w:pPr/>
      <w:r>
        <w:rPr/>
        <w:t>The aging claim needs similar restraint. Epel and colleagues reported associations among perceived stress, oxidative-stress measures and leukocyte telomere-related measures in a sample of premenopausal women, including mothers caring for a chronically ill child. The observational findings do not make telomere length a clock for one person's relational expenditure, establish that stress caused the differences, or show that every act of connection accelerates aging. Different aging-related biomarkers are not interchangeable. [B13]</w:t>
      </w:r>
    </w:p>
    <w:p>
      <w:pPr/>
      <w:r>
        <w:rPr/>
        <w:t>Heart-rate variability describes variation in intervals between heartbeats; different HRV measures capture different features of that variation. In an elderly Framingham cohort, some lower HRV measures predicted mortality during follow-up. That population-specific prognostic association is not a guarantee across all demographics, an identification of relational stress as the cause, or a literal measurement of a person's psychological bandwidth. A value requires its recording conditions and the particular measure used. [B14]</w:t>
      </w:r>
    </w:p>
    <w:p>
      <w:pPr/>
      <w:r>
        <w:rPr/>
        <w:t>These studies make the bodily question worth pursuing. They do not convert cortisol, immune assays, telomeres, HRV or sleep disruption into energy or entropy units. Absence of an adverse result on one of these measures is not evidence of absent feeling or cost.</w:t>
      </w:r>
    </w:p>
    <w:p>
      <w:pPr>
        <w:pStyle w:val="Heading3"/>
      </w:pPr>
      <w:bookmarkStart w:id="132" w:name="v2_l133"/>
      <w:r>
        <w:rPr>
          <w:sz w:val="26"/>
        </w:rPr>
        <w:t>4 Signal Form and Cost Substrate</w:t>
      </w:r>
      <w:bookmarkEnd w:id="132"/>
    </w:p>
    <w:p>
      <w:pPr/>
      <w:r>
        <w:rPr/>
        <w:t>The framework distinguishes what an act communicates from what supports its production. That distinction remains useful when it is not asked to diagnose more than it can observe.</w:t>
      </w:r>
    </w:p>
    <w:p>
      <w:pPr/>
      <w:r>
        <w:rPr>
          <w:b/>
        </w:rPr>
        <w:t>Signal Form</w:t>
      </w:r>
      <w:r>
        <w:rPr/>
        <w:t xml:space="preserve"> is the observable output: the message, act of care, consistent presence or spoken words. Its interpretation and effect require further evidence. A receiver may miss an act, misunderstand it or benefit without recognizing its source.</w:t>
      </w:r>
    </w:p>
    <w:p>
      <w:pPr/>
      <w:r>
        <w:rPr>
          <w:b/>
        </w:rPr>
        <w:t>Cost Substrate</w:t>
      </w:r>
      <w:r>
        <w:rPr/>
        <w:t xml:space="preserve"> names the implemented resources and burdens supporting the act. For a person, these can include metabolic resources and reported effort, measured separately. Cortisol, immune changes or disrupted sleep may be relevant observations in a defined study, but none is compulsory evidence of investment. Resource use and injury are different things.</w:t>
      </w:r>
    </w:p>
    <w:p>
      <w:pPr/>
      <w:r>
        <w:rPr/>
        <w:t>The Real, Custodial, Structural and Shadow Economy labels organize questions about participation and the location of support. They do not follow uniquely from a biomarker profile. An act is not proven genuine because the investor shows physiological strain, nor proven simulated because a particular strain marker is absent.</w:t>
      </w:r>
    </w:p>
    <w:p>
      <w:pPr/>
      <w:r>
        <w:rPr/>
        <w:t>An uploaded entity remains a hypothetical case. If it lacked human endocrine organs, the absence of human cortisol would establish a difference in implementation, not an absence of physical resource use. The executing hardware and supporting infrastructure would still belong in a defined cost account. Withholding participation would require separate evidence; it cannot be inferred from substrate alone.</w:t>
      </w:r>
    </w:p>
    <w:p>
      <w:pPr/>
      <w:r>
        <w:rPr/>
        <w:t>Signal and expenditure can therefore be studied together without being collapsed. Similar outputs may involve different resources; similar resource use may accompany different outputs. Neither comparison, by itself, determines sincerity, benefit or phenomenal experience. The proposed distinction is an accounting discipline, not a validated detector of “real” feeling.</w:t>
      </w:r>
    </w:p>
    <w:p>
      <w:pPr>
        <w:pStyle w:val="Heading3"/>
      </w:pPr>
      <w:bookmarkStart w:id="133" w:name="v2_l147"/>
      <w:r>
        <w:rPr>
          <w:sz w:val="26"/>
        </w:rPr>
        <w:t>5 The Parity Window</w:t>
      </w:r>
      <w:bookmarkEnd w:id="133"/>
    </w:p>
    <w:p>
      <w:pPr/>
      <w:r>
        <w:rPr/>
        <w:t>Damasio's work opens a question the framework should hold without claiming to have settled it: how do bodily processes and representations contribute to experience? A model of the body is itself implemented in a physical system. Imagining a bodily state is not evidence that the physical support of the model has vanished.</w:t>
      </w:r>
    </w:p>
    <w:p>
      <w:pPr/>
      <w:r>
        <w:rPr/>
        <w:t>Phantom-limb reports show why sensation cannot simply be equated with the current presence of the represented limb. Melzack and colleagues studied people with congenital limb deficiency or early-childhood amputation and documented phantom experiences in both groups, including fifteen participants with congenital limb deficiency. The authors' estimate of at least twenty percent for their congenital group is not a universal prevalence estimate. These reports do not establish that all peripheral input is absent or prove that a genetically specified neuromatrix is the sole mechanism. [B15]</w:t>
      </w:r>
    </w:p>
    <w:p>
      <w:pPr/>
      <w:r>
        <w:rPr/>
        <w:t>The example supports a limited distinction between representation and the represented limb. It does not show that a body model in an arbitrary substrate produces the same experience, that its cost equals a human body's cost, or that simulated expression is costless.</w:t>
      </w:r>
    </w:p>
    <w:p>
      <w:pPr/>
      <w:r>
        <w:rPr/>
        <w:t>The Parity Window names a proposed space for explicit comparison while phenomenal equivalence remains unresolved. Physical measurements, behavior and reports can be relevant evidence without any one of them being treated as decisive. The BSB is a boundary on the framework's inference, not a proof that experience is permanently inaccessible or irrelevant.</w:t>
      </w:r>
    </w:p>
    <w:p>
      <w:pPr>
        <w:pStyle w:val="Heading3"/>
      </w:pPr>
      <w:bookmarkStart w:id="134" w:name="v2_l157"/>
      <w:r>
        <w:rPr>
          <w:sz w:val="26"/>
        </w:rPr>
        <w:t>What this chapter now claims</w:t>
      </w:r>
      <w:bookmarkEnd w:id="134"/>
    </w:p>
    <w:p>
      <w:pPr/>
      <w:r>
        <w:rPr/>
        <w:t>Feeling has biological implementation, but no universal cascade or fixed bodily bill has been established here. Primary studies support specific findings under particular conditions. The framework's Signal Form and Cost Substrate distinction can keep output, resources and outcomes visible without turning biomarkers into tests of authenticity. The Parity Window remains open.</w:t>
      </w:r>
    </w:p>
    <w:p>
      <w:pPr/>
      <w:r>
        <w:rPr/>
        <w:t>The next chapter asks what the Moniz can record when subjective difficulty and physical expenditure are kept distinct.</w:t>
      </w:r>
    </w:p>
    <w:p>
      <w:pPr>
        <w:pStyle w:val="Heading3"/>
      </w:pPr>
      <w:bookmarkStart w:id="135" w:name="v2_l163"/>
      <w:r>
        <w:rPr>
          <w:sz w:val="26"/>
        </w:rPr>
        <w:t>Framework cross references</w:t>
      </w:r>
      <w:bookmarkEnd w:id="135"/>
    </w:p>
    <w:p>
      <w:pPr/>
      <w:r>
        <w:rPr/>
        <w:t>WP-18 supplies the feeling-as-cost proposal. WP-14 supplies Signal Form and Cost Substrate; WP-16 supplies the proposed CSS architecture. The BSB working paper supplies the historical Parity Window terminology. These are internal framework sources, not independent validation of an instrument.</w:t>
      </w:r>
    </w:p>
    <w:p>
      <w:pPr/>
      <w:r>
        <w:rPr/>
        <w:t>The original chapter cited Damasio's 1994 and 2003 books, Barrett's 2017 theory and Hopf and colleagues' 2020 review of bereavement physiology. The theoretical and review sources should not be presented as primary demonstrations of a universal sequence or cost. The present chapter uses identified primary studies for its empirical examples and separately labels the theoretical accounts. [B9–B16, B19, B21, B22]</w:t>
      </w:r>
    </w:p>
    <w:p>
      <w:pPr>
        <w:pStyle w:val="Heading2"/>
        <w:pageBreakBefore/>
        <w:spacing w:before="280" w:after="220"/>
      </w:pPr>
      <w:bookmarkStart w:id="136" w:name="v2_l169"/>
      <w:r>
        <w:rPr>
          <w:sz w:val="36"/>
        </w:rPr>
        <w:t>Chapter 3 The Moniz</w:t>
      </w:r>
      <w:bookmarkEnd w:id="136"/>
    </w:p>
    <w:p>
      <w:pPr>
        <w:pStyle w:val="Heading3"/>
      </w:pPr>
      <w:bookmarkStart w:id="137" w:name="v2_l171"/>
      <w:r>
        <w:rPr>
          <w:sz w:val="26"/>
        </w:rPr>
        <w:t>A thinking tool for reported relational effort</w:t>
      </w:r>
      <w:bookmarkEnd w:id="137"/>
    </w:p>
    <w:p>
      <w:pPr/>
      <w:r>
        <w:rPr/>
        <w:t>Epistemic status: Mz is a proposed descriptive index, not a validated psychometric scale, thermodynamic work quantity or clinical instrument. Neural activity has metabolic requirements, but no mapping from the framework's R-scale to energy or entropy production has been established. A future association would need its own scope and validation; it is not a missing universal constant already guaranteed by the theory.</w:t>
      </w:r>
    </w:p>
    <w:p>
      <w:pPr>
        <w:pStyle w:val="Heading3"/>
      </w:pPr>
      <w:bookmarkStart w:id="138" w:name="v2_l175"/>
      <w:r>
        <w:rPr>
          <w:sz w:val="26"/>
        </w:rPr>
        <w:t>1 What the Mz already is</w:t>
      </w:r>
      <w:bookmarkEnd w:id="138"/>
    </w:p>
    <w:p>
      <w:pPr/>
      <w:r>
        <w:rPr/>
        <w:t>Brief 12 defines the framework's proposed unit of relational measurement:</w:t>
      </w:r>
    </w:p>
    <w:p>
      <w:pPr>
        <w:pStyle w:val="Equation"/>
      </w:pPr>
      <m:oMathPara>
        <m:oMath>
          <m:r>
            <m:rPr>
              <m:sty m:val="i"/>
            </m:rPr>
            <w:rPr>
              <w:rFonts w:ascii="Latin Modern Math" w:hAnsi="Latin Modern Math"/>
            </w:rPr>
            <m:t xml:space="preserve">Mz = </m:t>
          </m:r>
          <m:sSub>
            <m:e>
              <m:r>
                <m:rPr>
                  <m:sty m:val="i"/>
                </m:rPr>
                <w:rPr>
                  <w:rFonts w:ascii="Latin Modern Math" w:hAnsi="Latin Modern Math"/>
                </w:rPr>
                <m:t xml:space="preserve">R</m:t>
              </m:r>
            </m:e>
            <m:sub>
              <m:r>
                <m:rPr>
                  <m:nor m:val="1"/>
                  <m:sty m:val="p"/>
                </m:rPr>
                <w:rPr>
                  <w:rFonts w:ascii="Latin Modern Math" w:hAnsi="Latin Modern Math"/>
                </w:rPr>
                <m:t xml:space="preserve">int</m:t>
              </m:r>
            </m:sub>
          </m:sSub>
          <m:r>
            <m:rPr>
              <m:sty m:val="i"/>
            </m:rPr>
            <w:rPr>
              <w:rFonts w:ascii="Latin Modern Math" w:hAnsi="Latin Modern Math"/>
            </w:rPr>
            <m:t xml:space="preserve"> × </m:t>
          </m:r>
          <m:sSub>
            <m:e>
              <m:r>
                <m:rPr>
                  <m:sty m:val="i"/>
                </m:rPr>
                <w:rPr>
                  <w:rFonts w:ascii="Latin Modern Math" w:hAnsi="Latin Modern Math"/>
                </w:rPr>
                <m:t xml:space="preserve">T</m:t>
              </m:r>
            </m:e>
            <m:sub>
              <m:r>
                <m:rPr>
                  <m:nor m:val="1"/>
                  <m:sty m:val="p"/>
                </m:rPr>
                <w:rPr>
                  <w:rFonts w:ascii="Latin Modern Math" w:hAnsi="Latin Modern Math"/>
                </w:rPr>
                <m:t xml:space="preserve">dur</m:t>
              </m:r>
            </m:sub>
          </m:sSub>
        </m:oMath>
      </m:oMathPara>
    </w:p>
    <w:p>
      <w:pPr/>
      <m:oMath>
        <m:sSub>
          <m:e>
            <m:r>
              <m:rPr>
                <m:sty m:val="i"/>
              </m:rPr>
              <w:rPr>
                <w:rFonts w:ascii="Latin Modern Math" w:hAnsi="Latin Modern Math"/>
              </w:rPr>
              <m:t xml:space="preserve">R</m:t>
            </m:r>
          </m:e>
          <m:sub>
            <m:r>
              <m:rPr>
                <m:nor m:val="1"/>
                <m:sty m:val="p"/>
              </m:rPr>
              <w:rPr>
                <w:rFonts w:ascii="Latin Modern Math" w:hAnsi="Latin Modern Math"/>
              </w:rPr>
              <m:t xml:space="preserve">int</m:t>
            </m:r>
          </m:sub>
        </m:sSub>
      </m:oMath>
      <w:r>
        <w:rPr/>
        <w:t xml:space="preserve"> records reported internal resistance on the original 1–10 scale: how difficult the sender finds producing a signal while facing competing impulses or demands. </w:t>
      </w:r>
      <m:oMath>
        <m:sSub>
          <m:e>
            <m:r>
              <m:rPr>
                <m:sty m:val="i"/>
              </m:rPr>
              <w:rPr>
                <w:rFonts w:ascii="Latin Modern Math" w:hAnsi="Latin Modern Math"/>
              </w:rPr>
              <m:t xml:space="preserve">T</m:t>
            </m:r>
          </m:e>
          <m:sub>
            <m:r>
              <m:rPr>
                <m:nor m:val="1"/>
                <m:sty m:val="p"/>
              </m:rPr>
              <w:rPr>
                <w:rFonts w:ascii="Latin Modern Math" w:hAnsi="Latin Modern Math"/>
              </w:rPr>
              <m:t xml:space="preserve">dur</m:t>
            </m:r>
          </m:sub>
        </m:sSub>
      </m:oMath>
      <w:r>
        <w:rPr/>
        <w:t xml:space="preserve"> records duration in minutes. The result has conventional score-minute units, not joules or joules per kelvin.</w:t>
      </w:r>
    </w:p>
    <w:p>
      <w:pPr/>
      <w:r>
        <w:rPr/>
        <w:t>The Moniz began as a thinking tool, not a psychometric instrument. Brief 12 states: “It does not measure what you do. It measures what it costs you to do it.” That line preserves the question worth asking. Here, “cost” refers to the person's reported difficulty under the chosen convention, not an already measured physical expenditure.</w:t>
      </w:r>
    </w:p>
    <w:p>
      <w:pPr/>
      <w:r>
        <w:rPr/>
        <w:t>Brief 16 adds that the same action may be reported differently by different people, or by one person in different circumstances. The Principal's phrase “cosmological constant” can remain part of the idea's history. It is not a physical identification of Mz with the cosmological constant, an entropy budget or a thermodynamic work quantity.</w:t>
      </w:r>
    </w:p>
    <w:p>
      <w:pPr>
        <w:pStyle w:val="Heading3"/>
      </w:pPr>
      <w:bookmarkStart w:id="139" w:name="v2_l187"/>
      <w:r>
        <w:rPr>
          <w:sz w:val="26"/>
        </w:rPr>
        <w:t>2 What an R value can report</w:t>
      </w:r>
      <w:bookmarkEnd w:id="139"/>
    </w:p>
    <w:p>
      <w:pPr/>
      <w:r>
        <w:rPr/>
        <w:t>An R-value is a report of difficulty under specified instructions. It is not direct access to all neural processing or a readout of an entropy-production rate. The framework has not established equal intervals between successive scores. A rating of eight cannot therefore be assumed to mean twice the effort, energy or entropy of a rating of four. Multiplying by duration is a chosen scoring rule; it does not solve that measurement problem.</w:t>
      </w:r>
    </w:p>
    <w:p>
      <w:pPr/>
      <w:r>
        <w:rPr/>
        <w:t>The original scale also has a baseline mismatch. R = 1 was described as little or no additional expenditure above baseline, yet a ten-minute act at R = 1 produces Mz = 10. The index does not become zero when the claimed excess physical cost becomes zero. Subtracting one from the rating would change the convention, but would not establish equal intervals or a conversion to physical units. This revision does not invent such a calibration.</w:t>
      </w:r>
    </w:p>
    <w:p>
      <w:pPr/>
      <w:r>
        <w:rPr/>
        <w:t>R = 10 marks the upper response category, not a measured physiological maximum. Fatigue, fear, competing goals and other circumstances may inform the person's report, but a report alone does not identify which mechanism generated it. In particular, inhibiting an impulse is not thereby identified as a logically irreversible memory reset. Bennett's result does not charge every cognitive “override” a Landauer toll. [B1, B2]</w:t>
      </w:r>
    </w:p>
    <w:p>
      <w:pPr/>
      <w:r>
        <w:rPr/>
        <w:t>The neuroscience supports a narrower point. Díaz-García and colleagues observed stimulation-related changes in neuronal glucose metabolism using biosensors in mouse hippocampal slices and awake mice. That is evidence about those preparations and stimuli, not a measurement of human relational resistance. [B5] Westbrook and colleagues operationalized cognitive effort through choices involving working-memory demands and monetary rewards in healthy adults. Their behavioral valuation does not supply a joule value for an R-score. [B6]</w:t>
      </w:r>
    </w:p>
    <w:p>
      <w:pPr/>
      <w:r>
        <w:rPr/>
        <w:t>The original 2.7-fold neuronal figure was relayed through a review and a model-based energy estimate, not an experiment calibrating the Moniz. Shepherd's article discusses competing accounts of cognitive effort; it is a review and conceptual analysis, not proof that a person reports thermodynamic accounting. Those citations cannot establish the claimed identity of R with additional entropy production.</w:t>
      </w:r>
    </w:p>
    <w:p>
      <w:pPr>
        <w:pStyle w:val="Heading3"/>
      </w:pPr>
      <w:bookmarkStart w:id="140" w:name="v2_l199"/>
      <w:r>
        <w:rPr>
          <w:sz w:val="26"/>
        </w:rPr>
        <w:t>3 The integral and the units</w:t>
      </w:r>
      <w:bookmarkEnd w:id="140"/>
    </w:p>
    <w:p>
      <w:pPr/>
      <w:r>
        <w:rPr/>
        <w:t>The original proposed identity was:</w:t>
      </w:r>
    </w:p>
    <w:p>
      <w:pPr>
        <w:pStyle w:val="Equation"/>
      </w:pPr>
      <m:oMathPara>
        <m:oMath>
          <m:r>
            <m:rPr>
              <m:sty m:val="i"/>
            </m:rPr>
            <w:rPr>
              <w:rFonts w:ascii="Latin Modern Math" w:hAnsi="Latin Modern Math"/>
            </w:rPr>
            <m:t xml:space="preserve">Mz ∝ </m:t>
          </m:r>
          <m:nary>
            <m:naryPr>
              <m:chr m:val="∫"/>
              <m:limLoc m:val="subSup"/>
              <m:grow m:val="1"/>
              <m:subHide m:val="0"/>
              <m:supHide m:val="0"/>
            </m:naryPr>
            <m:sub>
              <m:r>
                <m:rPr>
                  <m:nor m:val="1"/>
                  <m:sty m:val="p"/>
                </m:rPr>
                <w:rPr>
                  <w:rFonts w:ascii="Latin Modern Math" w:hAnsi="Latin Modern Math"/>
                </w:rPr>
                <m:t xml:space="preserve">0</m:t>
              </m:r>
            </m:sub>
            <m:sup>
              <m:r>
                <m:rPr>
                  <m:sty m:val="i"/>
                </m:rPr>
                <w:rPr>
                  <w:rFonts w:ascii="Latin Modern Math" w:hAnsi="Latin Modern Math"/>
                </w:rPr>
                <m:t xml:space="preserve">T</m:t>
              </m:r>
            </m:sup>
            <m:e>
              <m:sSub>
                <m:e>
                  <m:r>
                    <m:rPr>
                      <m:sty m:val="i"/>
                    </m:rPr>
                    <w:rPr>
                      <w:rFonts w:ascii="Latin Modern Math" w:hAnsi="Latin Modern Math"/>
                    </w:rPr>
                    <m:t xml:space="preserve">σ</m:t>
                  </m:r>
                </m:e>
                <m:sub>
                  <m:r>
                    <m:rPr>
                      <m:nor m:val="1"/>
                      <m:sty m:val="p"/>
                    </m:rPr>
                    <w:rPr>
                      <w:rFonts w:ascii="Latin Modern Math" w:hAnsi="Latin Modern Math"/>
                    </w:rPr>
                    <m:t xml:space="preserve">override</m:t>
                  </m:r>
                </m:sub>
              </m:sSub>
              <m:r>
                <m:rPr>
                  <m:sty m:val="i"/>
                </m:rPr>
                <w:rPr>
                  <w:rFonts w:ascii="Latin Modern Math" w:hAnsi="Latin Modern Math"/>
                </w:rPr>
                <m:t xml:space="preserve">(t) </m:t>
              </m:r>
              <m:r>
                <m:rPr>
                  <m:nor m:val="1"/>
                  <m:sty m:val="p"/>
                </m:rPr>
                <w:rPr>
                  <w:rFonts w:ascii="Latin Modern Math" w:hAnsi="Latin Modern Math"/>
                </w:rPr>
                <m:t xml:space="preserve">d</m:t>
              </m:r>
              <m:r>
                <m:rPr>
                  <m:sty m:val="i"/>
                </m:rPr>
                <w:rPr>
                  <w:rFonts w:ascii="Latin Modern Math" w:hAnsi="Latin Modern Math"/>
                </w:rPr>
                <m:t xml:space="preserve">t</m:t>
              </m:r>
            </m:e>
          </m:nary>
        </m:oMath>
      </m:oMathPara>
    </w:p>
    <w:p>
      <w:pPr/>
      <w:r>
        <w:rPr/>
        <w:t xml:space="preserve">This is not retained as an established relation. If </w:t>
      </w:r>
      <m:oMath>
        <m:sSub>
          <m:e>
            <m:r>
              <m:rPr>
                <m:sty m:val="i"/>
              </m:rPr>
              <w:rPr>
                <w:rFonts w:ascii="Latin Modern Math" w:hAnsi="Latin Modern Math"/>
              </w:rPr>
              <m:t xml:space="preserve">σ</m:t>
            </m:r>
          </m:e>
          <m:sub>
            <m:r>
              <m:rPr>
                <m:nor m:val="1"/>
                <m:sty m:val="p"/>
              </m:rPr>
              <w:rPr>
                <w:rFonts w:ascii="Latin Modern Math" w:hAnsi="Latin Modern Math"/>
              </w:rPr>
              <m:t xml:space="preserve">override</m:t>
            </m:r>
          </m:sub>
        </m:sSub>
      </m:oMath>
      <w:r>
        <w:rPr/>
        <w:t xml:space="preserve"> is an entropy-production rate in J </w:t>
      </w:r>
      <m:oMath>
        <m:sSup>
          <m:e>
            <m:r>
              <m:rPr>
                <m:nor m:val="1"/>
                <m:sty m:val="p"/>
              </m:rPr>
              <w:rPr>
                <w:rFonts w:ascii="Latin Modern Math" w:hAnsi="Latin Modern Math"/>
              </w:rPr>
              <m:t xml:space="preserve">K</m:t>
            </m:r>
          </m:e>
          <m:sup>
            <m:r>
              <m:rPr>
                <m:nor m:val="1"/>
                <m:sty m:val="p"/>
              </m:rPr>
              <w:rPr>
                <w:rFonts w:ascii="Latin Modern Math" w:hAnsi="Latin Modern Math"/>
              </w:rPr>
              <m:t xml:space="preserve">-1</m:t>
            </m:r>
          </m:sup>
        </m:sSup>
      </m:oMath>
      <w:r>
        <w:rPr/>
        <w:t xml:space="preserve"> </w:t>
      </w:r>
      <m:oMath>
        <m:sSup>
          <m:e>
            <m:r>
              <m:rPr>
                <m:nor m:val="1"/>
                <m:sty m:val="p"/>
              </m:rPr>
              <w:rPr>
                <w:rFonts w:ascii="Latin Modern Math" w:hAnsi="Latin Modern Math"/>
              </w:rPr>
              <m:t xml:space="preserve">s</m:t>
            </m:r>
          </m:e>
          <m:sup>
            <m:r>
              <m:rPr>
                <m:nor m:val="1"/>
                <m:sty m:val="p"/>
              </m:rPr>
              <w:rPr>
                <w:rFonts w:ascii="Latin Modern Math" w:hAnsi="Latin Modern Math"/>
              </w:rPr>
              <m:t xml:space="preserve">-1</m:t>
            </m:r>
          </m:sup>
        </m:sSup>
      </m:oMath>
      <w:r>
        <w:rPr/>
        <w:t xml:space="preserve"> and time is in seconds, the integral has units of J/K. Work has units of J. Neither is the score-minute unit of </w:t>
      </w:r>
      <m:oMath>
        <m:sSub>
          <m:e>
            <m:r>
              <m:rPr>
                <m:sty m:val="i"/>
              </m:rPr>
              <w:rPr>
                <w:rFonts w:ascii="Latin Modern Math" w:hAnsi="Latin Modern Math"/>
              </w:rPr>
              <m:t xml:space="preserve">R</m:t>
            </m:r>
          </m:e>
          <m:sub>
            <m:r>
              <m:rPr>
                <m:nor m:val="1"/>
                <m:sty m:val="p"/>
              </m:rPr>
              <w:rPr>
                <w:rFonts w:ascii="Latin Modern Math" w:hAnsi="Latin Modern Math"/>
              </w:rPr>
              <m:t xml:space="preserve">int</m:t>
            </m:r>
          </m:sub>
        </m:sSub>
      </m:oMath>
      <w:r>
        <w:rPr/>
        <w:t xml:space="preserve"> × </w:t>
      </w:r>
      <m:oMath>
        <m:sSub>
          <m:e>
            <m:r>
              <m:rPr>
                <m:sty m:val="i"/>
              </m:rPr>
              <w:rPr>
                <w:rFonts w:ascii="Latin Modern Math" w:hAnsi="Latin Modern Math"/>
              </w:rPr>
              <m:t xml:space="preserve">T</m:t>
            </m:r>
          </m:e>
          <m:sub>
            <m:r>
              <m:rPr>
                <m:nor m:val="1"/>
                <m:sty m:val="p"/>
              </m:rPr>
              <w:rPr>
                <w:rFonts w:ascii="Latin Modern Math" w:hAnsi="Latin Modern Math"/>
              </w:rPr>
              <m:t xml:space="preserve">dur</m:t>
            </m:r>
          </m:sub>
        </m:sSub>
      </m:oMath>
      <w:r>
        <w:rPr/>
        <w:t>. A proportionality sign conceals, rather than supplies, the required mapping and its units.</w:t>
      </w:r>
    </w:p>
    <w:p>
      <w:pPr/>
      <w:r>
        <w:rPr/>
        <w:t>A physical study could instead define separate quantities. With a measured power P in J/s and a stated task and comparison condition, an energy contrast over duration τ would be:</w:t>
      </w:r>
    </w:p>
    <w:p>
      <w:pPr>
        <w:pStyle w:val="Equation"/>
      </w:pPr>
      <m:oMathPara>
        <m:oMath>
          <m:sSub>
            <m:e>
              <m:r>
                <m:rPr>
                  <m:sty m:val="i"/>
                </m:rPr>
                <w:rPr>
                  <w:rFonts w:ascii="Latin Modern Math" w:hAnsi="Latin Modern Math"/>
                </w:rPr>
                <m:t xml:space="preserve">E</m:t>
              </m:r>
            </m:e>
            <m:sub>
              <m:r>
                <m:rPr>
                  <m:nor m:val="1"/>
                  <m:sty m:val="p"/>
                </m:rPr>
                <w:rPr>
                  <w:rFonts w:ascii="Latin Modern Math" w:hAnsi="Latin Modern Math"/>
                </w:rPr>
                <m:t xml:space="preserve">excess</m:t>
              </m:r>
            </m:sub>
          </m:sSub>
          <m:r>
            <m:rPr>
              <m:sty m:val="i"/>
            </m:rPr>
            <w:rPr>
              <w:rFonts w:ascii="Latin Modern Math" w:hAnsi="Latin Modern Math"/>
            </w:rPr>
            <m:t xml:space="preserve"> = </m:t>
          </m:r>
          <m:nary>
            <m:naryPr>
              <m:chr m:val="∫"/>
              <m:limLoc m:val="subSup"/>
              <m:grow m:val="1"/>
              <m:subHide m:val="0"/>
              <m:supHide m:val="0"/>
            </m:naryPr>
            <m:sub>
              <m:r>
                <m:rPr>
                  <m:nor m:val="1"/>
                  <m:sty m:val="p"/>
                </m:rPr>
                <w:rPr>
                  <w:rFonts w:ascii="Latin Modern Math" w:hAnsi="Latin Modern Math"/>
                </w:rPr>
                <m:t xml:space="preserve">0</m:t>
              </m:r>
            </m:sub>
            <m:sup>
              <m:r>
                <m:rPr>
                  <m:sty m:val="i"/>
                </m:rPr>
                <w:rPr>
                  <w:rFonts w:ascii="Latin Modern Math" w:hAnsi="Latin Modern Math"/>
                </w:rPr>
                <m:t xml:space="preserve">τ</m:t>
              </m:r>
            </m:sup>
            <m:e>
              <m:r>
                <m:rPr>
                  <m:sty m:val="i"/>
                </m:rPr>
                <w:rPr>
                  <w:rFonts w:ascii="Latin Modern Math" w:hAnsi="Latin Modern Math"/>
                </w:rPr>
                <m:t xml:space="preserve">[</m:t>
              </m:r>
              <m:sSub>
                <m:e>
                  <m:r>
                    <m:rPr>
                      <m:sty m:val="i"/>
                    </m:rPr>
                    <w:rPr>
                      <w:rFonts w:ascii="Latin Modern Math" w:hAnsi="Latin Modern Math"/>
                    </w:rPr>
                    <m:t xml:space="preserve">P</m:t>
                  </m:r>
                </m:e>
                <m:sub>
                  <m:r>
                    <m:rPr>
                      <m:nor m:val="1"/>
                      <m:sty m:val="p"/>
                    </m:rPr>
                    <w:rPr>
                      <w:rFonts w:ascii="Latin Modern Math" w:hAnsi="Latin Modern Math"/>
                    </w:rPr>
                    <m:t xml:space="preserve">task</m:t>
                  </m:r>
                </m:sub>
              </m:sSub>
              <m:r>
                <m:rPr>
                  <m:sty m:val="i"/>
                </m:rPr>
                <w:rPr>
                  <w:rFonts w:ascii="Latin Modern Math" w:hAnsi="Latin Modern Math"/>
                </w:rPr>
                <m:t xml:space="preserve">(t) − </m:t>
              </m:r>
              <m:sSub>
                <m:e>
                  <m:r>
                    <m:rPr>
                      <m:sty m:val="i"/>
                    </m:rPr>
                    <w:rPr>
                      <w:rFonts w:ascii="Latin Modern Math" w:hAnsi="Latin Modern Math"/>
                    </w:rPr>
                    <m:t xml:space="preserve">P</m:t>
                  </m:r>
                </m:e>
                <m:sub>
                  <m:r>
                    <m:rPr>
                      <m:nor m:val="1"/>
                      <m:sty m:val="p"/>
                    </m:rPr>
                    <w:rPr>
                      <w:rFonts w:ascii="Latin Modern Math" w:hAnsi="Latin Modern Math"/>
                    </w:rPr>
                    <m:t xml:space="preserve">reference</m:t>
                  </m:r>
                </m:sub>
              </m:sSub>
              <m:r>
                <m:rPr>
                  <m:sty m:val="i"/>
                </m:rPr>
                <w:rPr>
                  <w:rFonts w:ascii="Latin Modern Math" w:hAnsi="Latin Modern Math"/>
                </w:rPr>
                <m:t xml:space="preserve">(t)] </m:t>
              </m:r>
              <m:r>
                <m:rPr>
                  <m:nor m:val="1"/>
                  <m:sty m:val="p"/>
                </m:rPr>
                <w:rPr>
                  <w:rFonts w:ascii="Latin Modern Math" w:hAnsi="Latin Modern Math"/>
                </w:rPr>
                <m:t xml:space="preserve">d</m:t>
              </m:r>
              <m:r>
                <m:rPr>
                  <m:sty m:val="i"/>
                </m:rPr>
                <w:rPr>
                  <w:rFonts w:ascii="Latin Modern Math" w:hAnsi="Latin Modern Math"/>
                </w:rPr>
                <m:t xml:space="preserve">t</m:t>
              </m:r>
            </m:e>
          </m:nary>
        </m:oMath>
      </m:oMathPara>
    </w:p>
    <w:p>
      <w:pPr/>
      <w:r>
        <w:rPr/>
        <w:t>It would have units of joules. If independently justified entropy-production rates were available under consistent boundaries, their integrated contrast would have units of J/K. These are definitions of comparisons, not results established for relational processing here.</w:t>
      </w:r>
    </w:p>
    <w:p>
      <w:pPr/>
      <w:r>
        <w:rPr/>
        <w:t>Baseline subtraction matters. A task can produce a smaller measured value than the selected reference, so a contrast can be negative even when both total expenditures or mean total entropy productions are nonnegative. That would not mean the task generated negative total entropy or returned negative effort. A contrast should not be silently truncated to zero, relabeled as total production, or treated as causal without an appropriate design.</w:t>
      </w:r>
    </w:p>
    <w:p>
      <w:pPr/>
      <w:r>
        <w:rPr/>
        <w:t>Temperature is another variable, not a missing name for duration. Multiplying an entropy quantity by temperature gives energy units, but identifying the result with dissipated work requires a suitable physical model. The body is an open system exchanging matter and energy; cortisol or an R-score does not supply that balance.</w:t>
      </w:r>
    </w:p>
    <w:p>
      <w:pPr/>
      <w:r>
        <w:rPr/>
        <w:t xml:space="preserve">For orientation, the ideal isothermal reset of an unbiased bit in a symmetric memory, without correlated side information, has mean bath heat at least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w:t>
      </w:r>
      <m:oMath>
        <m:sSub>
          <m:e>
            <m:r>
              <m:rPr>
                <m:sty m:val="i"/>
              </m:rPr>
              <w:rPr>
                <w:rFonts w:ascii="Latin Modern Math" w:hAnsi="Latin Modern Math"/>
              </w:rPr>
              <m:t xml:space="preserve">T</m:t>
            </m:r>
          </m:e>
          <m:sub>
            <m:r>
              <m:rPr>
                <m:nor m:val="1"/>
                <m:sty m:val="p"/>
              </m:rPr>
              <w:rPr>
                <w:rFonts w:ascii="Latin Modern Math" w:hAnsi="Latin Modern Math"/>
              </w:rPr>
              <m:t xml:space="preserve">bath</m:t>
            </m:r>
          </m:sub>
        </m:sSub>
      </m:oMath>
      <w:r>
        <w:rPr/>
        <w:t xml:space="preserve"> ln 2. At 310 K this reference energy is approximately 2.97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-21</m:t>
            </m:r>
          </m:sup>
        </m:sSup>
      </m:oMath>
      <w:r>
        <w:rPr/>
        <w:t xml:space="preserve"> J; the corresponding bath-entropy scale is approximately 9.57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-24</m:t>
            </m:r>
          </m:sup>
        </m:sSup>
      </m:oMath>
      <w:r>
        <w:rPr/>
        <w:t xml:space="preserve"> J/K. In the reversible limit, the bath increase compensates the memory decrease and total entropy production can approach zero. These results do not fix the physical size of an R-unit. [B1–B3, B20]</w:t>
      </w:r>
    </w:p>
    <w:p>
      <w:pPr/>
      <w:r>
        <w:rPr/>
        <w:t>Duration needs care even for the descriptive index. The original product uses one R-value for the chosen interval. If resistance changes, the rating procedure must say whether that value is retrospective, averaged or sampled. Summing interval scores or integrating a time-varying rating would still be a scoring convention with untested scale assumptions, not an entropy measurement.</w:t>
      </w:r>
    </w:p>
    <w:p>
      <w:pPr>
        <w:pStyle w:val="Heading3"/>
      </w:pPr>
      <w:bookmarkStart w:id="141" w:name="v2_l221"/>
      <w:r>
        <w:rPr>
          <w:sz w:val="26"/>
        </w:rPr>
        <w:t>4 Mz relativity</w:t>
      </w:r>
      <w:bookmarkEnd w:id="141"/>
    </w:p>
    <w:p>
      <w:pPr/>
      <w:r>
        <w:rPr/>
        <w:t>Partner A may report R = 2 while cooking dinner; Partner B may report R = 7. At a hypothetical duration of thirty minutes, the original convention assigns 60 and 210 score-minutes. Those numbers describe the assigned scores and duration. They do not demonstrate that Partner B consumed 3.5 times as much energy, performed 3.5 times as much thermodynamic work, or cared 3.5 times as much.</w:t>
      </w:r>
    </w:p>
    <w:p>
      <w:pPr/>
      <w:r>
        <w:rPr/>
        <w:t>The example makes room for differences hidden by a behavioral description. It does not make people comparable on a common physical scale. “Filter geometry” can organize hypotheses about those differences, but variation in R is not identical to variation in G. Reports may differ with circumstances and with how the scale is understood. The framework has not established a unique internal cause or cross-person measurement equivalence.</w:t>
      </w:r>
    </w:p>
    <w:p>
      <w:pPr/>
      <w:r>
        <w:rPr/>
        <w:t>Mz relativity is therefore a caution about interpretation, not a theorem derived from the transducer model. Even within-person comparisons need consistent instructions and evidence that the measure serves its intended purpose.</w:t>
      </w:r>
    </w:p>
    <w:p>
      <w:pPr>
        <w:pStyle w:val="Heading3"/>
      </w:pPr>
      <w:bookmarkStart w:id="142" w:name="v2_l229"/>
      <w:r>
        <w:rPr>
          <w:sz w:val="26"/>
        </w:rPr>
        <w:t>5 The proposed outcome ratio</w:t>
      </w:r>
      <w:bookmarkEnd w:id="142"/>
    </w:p>
    <w:p>
      <w:pPr/>
      <w:r>
        <w:rPr/>
        <w:t>The original ratio was:</w:t>
      </w:r>
    </w:p>
    <w:p>
      <w:pPr>
        <w:pStyle w:val="Equation"/>
      </w:pPr>
      <m:oMathPara>
        <m:oMath>
          <m:sSub>
            <m:e>
              <m:r>
                <m:rPr>
                  <m:sty m:val="i"/>
                </m:rPr>
                <w:rPr>
                  <w:rFonts w:ascii="Latin Modern Math" w:hAnsi="Latin Modern Math"/>
                </w:rPr>
                <m:t xml:space="preserve">κ</m:t>
              </m:r>
            </m:e>
            <m:sub>
              <m:r>
                <m:rPr>
                  <m:nor m:val="1"/>
                  <m:sty m:val="p"/>
                </m:rPr>
                <w:rPr>
                  <w:rFonts w:ascii="Latin Modern Math" w:hAnsi="Latin Modern Math"/>
                </w:rPr>
                <m:t xml:space="preserve">Mz</m:t>
              </m:r>
            </m:sub>
          </m:sSub>
          <m:r>
            <m:rPr>
              <m:sty m:val="i"/>
            </m:rPr>
            <w:rPr>
              <w:rFonts w:ascii="Latin Modern Math" w:hAnsi="Latin Modern Math"/>
            </w:rPr>
            <m:t xml:space="preserve"> = </m:t>
          </m:r>
          <m:f>
            <m:num>
              <m:sSub>
                <m:e>
                  <m:r>
                    <m:rPr>
                      <m:sty m:val="i"/>
                    </m:rPr>
                    <w:rPr>
                      <w:rFonts w:ascii="Latin Modern Math" w:hAnsi="Latin Modern Math"/>
                    </w:rPr>
                    <m:t xml:space="preserve">ΔV</m:t>
                  </m:r>
                </m:e>
                <m:sub>
                  <m:r>
                    <m:rPr>
                      <m:nor m:val="1"/>
                      <m:sty m:val="p"/>
                    </m:rPr>
                    <w:rPr>
                      <w:rFonts w:ascii="Latin Modern Math" w:hAnsi="Latin Modern Math"/>
                    </w:rPr>
                    <m:t xml:space="preserve">rel</m:t>
                  </m:r>
                </m:sub>
              </m:sSub>
            </m:num>
            <m:den>
              <m:r>
                <m:rPr>
                  <m:sty m:val="i"/>
                </m:rPr>
                <w:rPr>
                  <w:rFonts w:ascii="Latin Modern Math" w:hAnsi="Latin Modern Math"/>
                </w:rPr>
                <m:t xml:space="preserve">Mz</m:t>
              </m:r>
            </m:den>
          </m:f>
        </m:oMath>
      </m:oMathPara>
    </w:p>
    <w:p>
      <w:pPr/>
      <w:r>
        <w:rPr/>
        <w:t xml:space="preserve">It can only be interpreted after the outcome </w:t>
      </w:r>
      <m:oMath>
        <m:sSub>
          <m:e>
            <m:r>
              <m:rPr>
                <m:sty m:val="i"/>
              </m:rPr>
              <w:rPr>
                <w:rFonts w:ascii="Latin Modern Math" w:hAnsi="Latin Modern Math"/>
              </w:rPr>
              <m:t xml:space="preserve">ΔV</m:t>
            </m:r>
          </m:e>
          <m:sub>
            <m:r>
              <m:rPr>
                <m:nor m:val="1"/>
                <m:sty m:val="p"/>
              </m:rPr>
              <w:rPr>
                <w:rFonts w:ascii="Latin Modern Math" w:hAnsi="Latin Modern Math"/>
              </w:rPr>
              <m:t xml:space="preserve">rel</m:t>
            </m:r>
          </m:sub>
        </m:sSub>
      </m:oMath>
      <w:r>
        <w:rPr/>
        <w:t>, its baseline, the affected party and the observation period are defined. With an outcome score in the numerator and the conventional Mz index in the denominator, the units would be outcome-score per score-minute. This is not a dimensionless thermodynamic efficiency or a measured return per joule. The properties of an ordinal-based denominator also limit what its ratios mean.</w:t>
      </w:r>
    </w:p>
    <w:p>
      <w:pPr/>
      <w:r>
        <w:rPr/>
        <w:t>The ratio is undefined at Mz = 0. Small positive denominators can make it unstable, so numerator and denominator must remain visible. A negative defined outcome with a positive index gives a negative ratio by arithmetic; that sign is an evaluative outcome, not a direction of heat or entropy flow.</w:t>
      </w:r>
    </w:p>
    <w:p>
      <w:pPr/>
      <w:r>
        <w:rPr/>
        <w:t>The connection to Kolchinsky and Wolpert is proposed, not derived. Their semantic measures depend on defined dynamics, interventions, viability and time horizon. Their stored-information multiplier is normalized by the initial mutual information in their model; it is not a measured human return per Mz. [B7]</w:t>
      </w:r>
    </w:p>
    <w:p>
      <w:pPr/>
      <w:r>
        <w:rPr/>
        <w:t xml:space="preserve">An unregistered or unanswered act does not force </w:t>
      </w:r>
      <m:oMath>
        <m:sSub>
          <m:e>
            <m:r>
              <m:rPr>
                <m:sty m:val="i"/>
              </m:rPr>
              <w:rPr>
                <w:rFonts w:ascii="Latin Modern Math" w:hAnsi="Latin Modern Math"/>
              </w:rPr>
              <m:t xml:space="preserve">ΔV</m:t>
            </m:r>
          </m:e>
          <m:sub>
            <m:r>
              <m:rPr>
                <m:nor m:val="1"/>
                <m:sty m:val="p"/>
              </m:rPr>
              <w:rPr>
                <w:rFonts w:ascii="Latin Modern Math" w:hAnsi="Latin Modern Math"/>
              </w:rPr>
              <m:t xml:space="preserve">rel</m:t>
            </m:r>
          </m:sub>
        </m:sSub>
      </m:oMath>
      <w:r>
        <w:rPr/>
        <w:t xml:space="preserve"> = 0. Unwitnessed care can have practical effects, while a recognized act can be harmful. Nor does grief guarantee a positive return that can be divided by a measured cost. These examples motivate separate observations of expenditure, registration and outcome. The proposed ratio supplies no clinical judgment.</w:t>
      </w:r>
    </w:p>
    <w:p>
      <w:pPr>
        <w:pStyle w:val="Heading3"/>
      </w:pPr>
      <w:bookmarkStart w:id="143" w:name="v2_l243"/>
      <w:r>
        <w:rPr>
          <w:sz w:val="26"/>
        </w:rPr>
        <w:t>6 Dark Soul Matter</w:t>
      </w:r>
      <w:bookmarkEnd w:id="143"/>
    </w:p>
    <w:p>
      <w:pPr/>
      <w:r>
        <w:rPr/>
        <w:t>Brief 12 calls sustained, difficult investment invisible to the receiver “Dark Soul Matter.” The name can preserve attention to effort that an observer misses. It should not imply that someone remains at a physiological maximum for months or years, or that an unmeasured integral is the largest expenditure their body can sustain.</w:t>
      </w:r>
    </w:p>
    <w:p>
      <w:pPr/>
      <w:r>
        <w:rPr/>
        <w:t>A high reported rating over a long period calls for a clear account of what was rated and when. Duration cannot silently mean every minute of a person's life. Lack of recognition also does not establish lack of benefit or make the effort the most expensive form of love.</w:t>
      </w:r>
    </w:p>
    <w:p>
      <w:pPr/>
      <w:r>
        <w:rPr/>
        <w:t>The founding line retains its force here as an image of investment without guaranteed return. The index does not make sacrifice obligatory, rank a person's worth, or require escalating strain to prove care.</w:t>
      </w:r>
    </w:p>
    <w:p>
      <w:pPr>
        <w:pStyle w:val="Heading3"/>
      </w:pPr>
      <w:bookmarkStart w:id="144" w:name="v2_l251"/>
      <w:r>
        <w:rPr>
          <w:sz w:val="26"/>
        </w:rPr>
        <w:t>7 AI and the missing R value</w:t>
      </w:r>
      <w:bookmarkEnd w:id="144"/>
    </w:p>
    <w:p>
      <w:pPr/>
      <w:r>
        <w:rPr/>
        <w:t>Brief 12 assigned AI companions R = 0 and therefore Mz = 0. That assignment is not established by thermodynamics. Zero also lies outside the stated human 1–10 response scale. A system without a comparable validated self-report measure should be marked as not measured or not applicable to this instrument, rather than silently assigned an absence of difficulty.</w:t>
      </w:r>
    </w:p>
    <w:p>
      <w:pPr/>
      <w:r>
        <w:rPr/>
        <w:t>An implemented digital system uses physical resources. Its task-specific expenditure depends on the hardware, operating conditions, supporting infrastructure and chosen reference. No cortisol is required for electricity use or heat production. Conversely, a resource constraint or competition between processing tasks does not establish felt resistance or make a human R-score applicable.</w:t>
      </w:r>
    </w:p>
    <w:p>
      <w:pPr/>
      <w:r>
        <w:rPr/>
        <w:t>The corrected Axiom 0 asks that substrate alone not decide the comparison. It does not prove equal cost, equal relational capacity or equal experience. Human reports, computational resource measurements and phenomenal claims remain different kinds of evidence. The framework cannot infer zero additional cost from an absent subjective report, or infer experience from a nonzero energy measurement.</w:t>
      </w:r>
    </w:p>
    <w:p>
      <w:pPr>
        <w:pStyle w:val="Heading3"/>
      </w:pPr>
      <w:bookmarkStart w:id="145" w:name="v2_l259"/>
      <w:r>
        <w:rPr>
          <w:sz w:val="26"/>
        </w:rPr>
        <w:t>8 The calibration problem</w:t>
      </w:r>
      <w:bookmarkEnd w:id="145"/>
    </w:p>
    <w:p>
      <w:pPr/>
      <w:r>
        <w:rPr/>
        <w:t>The open problem is larger than finding one conversion factor. First, the intended construct and response instructions need definition. Reliability, scale properties and the meaning of comparisons would need evaluation before the score is treated as a measurement instrument.</w:t>
      </w:r>
    </w:p>
    <w:p>
      <w:pPr/>
      <w:r>
        <w:rPr/>
        <w:t>A separate study could ask whether reported difficulty is associated with a specified physiological or metabolic measure during a bounded relational task. It would require ethical review, an appropriate comparison, repeated observations, uncertainty estimates and attention to alternative explanations. A positive association would support that relationship under the study conditions; it would not establish a universal constant or identify self-reported effort with entropy production.</w:t>
      </w:r>
    </w:p>
    <w:p>
      <w:pPr/>
      <w:r>
        <w:rPr/>
        <w:t>The proposed instruments also need to measure the claimed quantity. BOLD fMRI is a hemodynamic signal related to neural activity; simultaneous recordings in monkey visual cortex helped establish that relationship. It is not a direct reading of ATP expenditure or heat. [B8] An EEG voltage trace likewise is not expressed in joules or J/K. Energy or entropy estimation would require additional validated measurements, assumptions and accounting beyond either signal alone.</w:t>
      </w:r>
    </w:p>
    <w:p>
      <w:pPr/>
      <w:r>
        <w:rPr/>
        <w:t>Failure to find the predicted association would count against that particular proposed bridge. The Moniz might still function as a private conversational prompt, but its practical usefulness would be a separate question. The absence of calibration must not be renamed a “formal” thermodynamic identity that survives every outcome.</w:t>
      </w:r>
    </w:p>
    <w:p>
      <w:pPr/>
      <w:r>
        <w:rPr/>
        <w:t>We do not yet know whether a stable and useful mapping exists for any specified task. That uncertainty keeps the question open without declaring the answer in advance.</w:t>
      </w:r>
    </w:p>
    <w:p>
      <w:pPr>
        <w:pStyle w:val="Heading3"/>
      </w:pPr>
      <w:bookmarkStart w:id="146" w:name="v2_l271"/>
      <w:r>
        <w:rPr>
          <w:sz w:val="26"/>
        </w:rPr>
        <w:t>What this chapter now claims</w:t>
      </w:r>
      <w:bookmarkEnd w:id="146"/>
    </w:p>
    <w:p>
      <w:pPr/>
      <w:r>
        <w:rPr/>
        <w:t>The Moniz records reported resistance and duration under a proposed convention. It does not currently measure thermodynamic work, entropy production or universal order spent. Its scale properties, interpretation and usefulness require testing. The outcome ratio needs defined quantities and a positive denominator; AI is not assigned zero resistance by default. No calibration has been invented.</w:t>
      </w:r>
    </w:p>
    <w:p>
      <w:pPr/>
      <w:r>
        <w:rPr/>
        <w:t>The next chapter examines the Template Tax: what the framework can ask about habits carried from an earlier relational environment without treating the filter image as an established biological mechanism.</w:t>
      </w:r>
    </w:p>
    <w:p>
      <w:pPr>
        <w:pStyle w:val="Heading3"/>
      </w:pPr>
      <w:bookmarkStart w:id="147" w:name="v2_l277"/>
      <w:r>
        <w:rPr>
          <w:sz w:val="26"/>
        </w:rPr>
        <w:t>Framework cross references</w:t>
      </w:r>
      <w:bookmarkEnd w:id="147"/>
    </w:p>
    <w:p>
      <w:pPr/>
      <w:r>
        <w:rPr/>
        <w:t>Brief 12 supplies the original Mz formula and Dark Soul Matter terminology. Brief 16 supplies Mz Relativity. DFQ-001 supplies the proposed relational application of K-W; the Transducer Formalization supplies G. Revised Volume 1 Chapters 5–8 distinguish physical resources, registration and phenomenal inference. Revised Volume 4 separates outcomes from energy-denominated comparisons. These internal dependencies do not validate the score.</w:t>
      </w:r>
    </w:p>
    <w:p>
      <w:pPr/>
      <w:r>
        <w:rPr/>
        <w:t>The original Díaz-García and Yellen citation is a review published online in 2018 and in its 2019 journal issue. Shepherd's review appeared online in 2022 and in its 2023 issue. Neither is treated here as an experiment establishing an R-to-entropy mapping. Primary research and theory are identified separately in the source notes.</w:t>
      </w:r>
    </w:p>
    <w:p>
      <w:pPr/>
      <w:r>
        <w:rPr/>
        <w:t>The Moniz must not be used to rank people, demand sacrifice, diagnose a relationship or infer another person’s worth. Even “your own cost” remains a reported index rather than a physiological measurement.</w:t>
      </w:r>
    </w:p>
    <w:p>
      <w:pPr>
        <w:pStyle w:val="Heading2"/>
        <w:pageBreakBefore/>
        <w:spacing w:before="280" w:after="220"/>
      </w:pPr>
      <w:bookmarkStart w:id="148" w:name="v2_l285"/>
      <w:r>
        <w:rPr>
          <w:sz w:val="36"/>
        </w:rPr>
        <w:t>Chapter 4 The Template Tax</w:t>
      </w:r>
      <w:bookmarkEnd w:id="148"/>
    </w:p>
    <w:p>
      <w:pPr>
        <w:pStyle w:val="Heading3"/>
      </w:pPr>
      <w:bookmarkStart w:id="149" w:name="v2_l287"/>
      <w:r>
        <w:rPr>
          <w:sz w:val="26"/>
        </w:rPr>
        <w:t>The cost of carrying an old pattern into a new setting</w:t>
      </w:r>
      <w:bookmarkEnd w:id="149"/>
    </w:p>
    <w:p>
      <w:pPr/>
      <w:r>
        <w:rPr/>
        <w:t>Epistemic status: Developmental experience and learning can influence later responses. The Template Tax is a proposed description of context mismatch, not an established entropy quantity, diagnosis or biological mechanism. Its AI-custodial application and physiological predictions remain untested here.</w:t>
      </w:r>
    </w:p>
    <w:p>
      <w:pPr>
        <w:pStyle w:val="Heading3"/>
      </w:pPr>
      <w:bookmarkStart w:id="150" w:name="v2_l291"/>
      <w:r>
        <w:rPr>
          <w:sz w:val="26"/>
        </w:rPr>
        <w:t>1 The problem</w:t>
      </w:r>
      <w:bookmarkEnd w:id="150"/>
    </w:p>
    <w:p>
      <w:pPr/>
      <w:r>
        <w:rPr/>
        <w:t>The filter has a history. Volume 1 uses filter geometry to describe proposed differences in selection, representation and action policy. In the original notation, G = (</w:t>
      </w:r>
      <m:oMath>
        <m:sSub>
          <m:e>
            <m:r>
              <m:rPr>
                <m:sty m:val="i"/>
              </m:rPr>
              <w:rPr>
                <w:rFonts w:ascii="Latin Modern Math" w:hAnsi="Latin Modern Math"/>
              </w:rPr>
              <m:t xml:space="preserve">S</m:t>
            </m:r>
          </m:e>
          <m:sub>
            <m:r>
              <m:rPr>
                <m:nor m:val="1"/>
                <m:sty m:val="p"/>
              </m:rPr>
              <w:rPr>
                <w:rFonts w:ascii="Latin Modern Math" w:hAnsi="Latin Modern Math"/>
              </w:rPr>
              <m:t xml:space="preserve">params</m:t>
            </m:r>
          </m:sub>
        </m:sSub>
      </m:oMath>
      <w:r>
        <w:rPr/>
        <w:t xml:space="preserve">, </w:t>
      </w:r>
      <m:oMath>
        <m:sSub>
          <m:e>
            <m:r>
              <m:rPr>
                <m:sty m:val="i"/>
              </m:rPr>
              <w:rPr>
                <w:rFonts w:ascii="Latin Modern Math" w:hAnsi="Latin Modern Math"/>
              </w:rPr>
              <m:t xml:space="preserve">C</m:t>
            </m:r>
          </m:e>
          <m:sub>
            <m:r>
              <m:rPr>
                <m:nor m:val="1"/>
                <m:sty m:val="p"/>
              </m:rPr>
              <w:rPr>
                <w:rFonts w:ascii="Latin Modern Math" w:hAnsi="Latin Modern Math"/>
              </w:rPr>
              <m:t xml:space="preserve">params</m:t>
            </m:r>
          </m:sub>
        </m:sSub>
      </m:oMath>
      <w:r>
        <w:rPr/>
        <w:t xml:space="preserve">, </w:t>
      </w:r>
      <m:oMath>
        <m:sSub>
          <m:e>
            <m:r>
              <m:rPr>
                <m:sty m:val="i"/>
              </m:rPr>
              <w:rPr>
                <w:rFonts w:ascii="Latin Modern Math" w:hAnsi="Latin Modern Math"/>
              </w:rPr>
              <m:t xml:space="preserve">Σ</m:t>
            </m:r>
          </m:e>
          <m:sub>
            <m:r>
              <m:rPr>
                <m:nor m:val="1"/>
                <m:sty m:val="p"/>
              </m:rPr>
              <w:rPr>
                <w:rFonts w:ascii="Latin Modern Math" w:hAnsi="Latin Modern Math"/>
              </w:rPr>
              <m:t xml:space="preserve">params</m:t>
            </m:r>
          </m:sub>
        </m:sSub>
      </m:oMath>
      <w:r>
        <w:rPr/>
        <w:t xml:space="preserve">). The three entries label selection, compression and structuring, respectively—the roles called </w:t>
      </w:r>
      <m:oMath>
        <m:sSub>
          <m:e>
            <m:r>
              <m:rPr>
                <m:sty m:val="i"/>
              </m:rPr>
              <w:rPr>
                <w:rFonts w:ascii="Latin Modern Math" w:hAnsi="Latin Modern Math"/>
              </w:rPr>
              <m:t xml:space="preserve">G</m:t>
            </m:r>
          </m:e>
          <m:sub>
            <m:r>
              <m:rPr>
                <m:sty m:val="p"/>
              </m:rPr>
              <w:rPr>
                <w:rFonts w:ascii="Latin Modern Math" w:hAnsi="Latin Modern Math"/>
              </w:rPr>
              <m:t xml:space="preserve">select</m:t>
            </m:r>
          </m:sub>
        </m:sSub>
      </m:oMath>
      <w:r>
        <w:rPr/>
        <w:t xml:space="preserve">, </w:t>
      </w:r>
      <m:oMath>
        <m:sSub>
          <m:e>
            <m:r>
              <m:rPr>
                <m:sty m:val="i"/>
              </m:rPr>
              <w:rPr>
                <w:rFonts w:ascii="Latin Modern Math" w:hAnsi="Latin Modern Math"/>
              </w:rPr>
              <m:t xml:space="preserve">G</m:t>
            </m:r>
          </m:e>
          <m:sub>
            <m:r>
              <m:rPr>
                <m:sty m:val="p"/>
              </m:rPr>
              <w:rPr>
                <w:rFonts w:ascii="Latin Modern Math" w:hAnsi="Latin Modern Math"/>
              </w:rPr>
              <m:t xml:space="preserve">compress</m:t>
            </m:r>
          </m:sub>
        </m:sSub>
      </m:oMath>
      <w:r>
        <w:rPr/>
        <w:t xml:space="preserve"> and </w:t>
      </w:r>
      <m:oMath>
        <m:sSub>
          <m:e>
            <m:r>
              <m:rPr>
                <m:sty m:val="i"/>
              </m:rPr>
              <w:rPr>
                <w:rFonts w:ascii="Latin Modern Math" w:hAnsi="Latin Modern Math"/>
              </w:rPr>
              <m:t xml:space="preserve">G</m:t>
            </m:r>
          </m:e>
          <m:sub>
            <m:r>
              <m:rPr>
                <m:sty m:val="p"/>
              </m:rPr>
              <w:rPr>
                <w:rFonts w:ascii="Latin Modern Math" w:hAnsi="Latin Modern Math"/>
              </w:rPr>
              <m:t xml:space="preserve">structure</m:t>
            </m:r>
          </m:sub>
        </m:sSub>
      </m:oMath>
      <w:r>
        <w:rPr/>
        <w:t xml:space="preserve"> in Volume 1. These are organizing labels, not measured anatomical compartments. The Greek letter in </w:t>
      </w:r>
      <m:oMath>
        <m:sSub>
          <m:e>
            <m:r>
              <m:rPr>
                <m:sty m:val="i"/>
              </m:rPr>
              <w:rPr>
                <w:rFonts w:ascii="Latin Modern Math" w:hAnsi="Latin Modern Math"/>
              </w:rPr>
              <m:t xml:space="preserve">Σ</m:t>
            </m:r>
          </m:e>
          <m:sub>
            <m:r>
              <m:rPr>
                <m:nor m:val="1"/>
                <m:sty m:val="p"/>
              </m:rPr>
              <w:rPr>
                <w:rFonts w:ascii="Latin Modern Math" w:hAnsi="Latin Modern Math"/>
              </w:rPr>
              <m:t xml:space="preserve">params</m:t>
            </m:r>
          </m:sub>
        </m:sSub>
      </m:oMath>
      <w:r>
        <w:rPr/>
        <w:t xml:space="preserve"> does not make a structuring parameter thermodynamic entropy production.</w:t>
      </w:r>
    </w:p>
    <w:p>
      <w:pPr/>
      <w:r>
        <w:rPr/>
        <w:t>The Template Tax asks what happens when a familiar response is carried into a setting where it no longer helps. A person may keep looking for a danger that is no longer present, discount an offer they could safely accept, or prepare for rejection before there is evidence of it. The useful question is whether that pattern creates an additional burden now, compared with a specified alternative. Calling it a tax does not establish its size or physical units.</w:t>
      </w:r>
    </w:p>
    <w:p>
      <w:pPr/>
      <w:r>
        <w:rPr/>
        <w:t>The original assertion that structuring parameters are not innate and are set during one developmental window was too strong. This chapter supplies no partition of genetic, developmental and current influences, and no evidence that a person's relational responses are fixed in childhood. “Inherited architecture” means patterns carried forward from experience in this framework; it is not a finding about genetic inheritance or epigenetic programming. Adult learning can also accompany measurable brain changes, as in the juggling-training study by Draganski and colleagues. That result concerns a visuomotor task, not the framework's relational filter. [A3]</w:t>
      </w:r>
    </w:p>
    <w:p>
      <w:pPr>
        <w:pStyle w:val="Heading3"/>
      </w:pPr>
      <w:bookmarkStart w:id="151" w:name="v2_l299"/>
      <w:r>
        <w:rPr>
          <w:sz w:val="26"/>
        </w:rPr>
        <w:t>2 A possible mechanism rather than a universal sequence</w:t>
      </w:r>
      <w:bookmarkEnd w:id="151"/>
    </w:p>
    <w:p>
      <w:pPr/>
      <w:r>
        <w:rPr/>
        <w:t>Consider a person who learned to monitor unpredictable interactions closely. In a later, safer setting, continuing that vigilance might interfere with attention or make an ordinary exchange feel effortful. This is a hypothetical example. It does not show that every child exposed to inconsistent caregiving develops hypervigilance, expects harm, or assigns a negative sign to all relational input.</w:t>
      </w:r>
    </w:p>
    <w:p>
      <w:pPr/>
      <w:r>
        <w:rPr/>
        <w:t>Primary research makes that restraint important. McLaughlin and colleagues studied fear conditioning in young people aged 6–18; the analyzed sample was 90. Maltreatment was associated with blunted threat responses and poorer threat–safety discrimination. [A1] Machlin and colleagues' later longitudinal analysis of 170 young people aged 10–13 instead associated greater violence exposure with heightened early threat-cue responses and subsequent PTSD symptoms. [A2] Different samples and tasks do not establish one inevitable calibration pattern. Neither study measured a Template Tax or a thermodynamic processing surcharge.</w:t>
      </w:r>
    </w:p>
    <w:p>
      <w:pPr/>
      <w:r>
        <w:rPr/>
        <w:t>A response can be understandable in light of someone's history without being proved optimal for that history. “The filter should have learned this” overstates what these data establish and risks explaining every outcome after the fact. Current danger must also be assessed rather than assumed absent. What looks like an outdated expectation to an observer may reflect conditions the observer has not understood.</w:t>
      </w:r>
    </w:p>
    <w:p>
      <w:pPr/>
      <w:r>
        <w:rPr/>
        <w:t>The proposed mechanism is therefore conditional: a learned response may persist after relevant conditions change, and that mismatch may contribute to effort or impairment. Showing this would require measuring the response, the old and current contexts, and a competing explanation. It would not follow merely from knowing that adversity occurred.</w:t>
      </w:r>
    </w:p>
    <w:p>
      <w:pPr>
        <w:pStyle w:val="Heading3"/>
      </w:pPr>
      <w:bookmarkStart w:id="152" w:name="v2_l309"/>
      <w:r>
        <w:rPr>
          <w:sz w:val="26"/>
        </w:rPr>
        <w:t>3 Three places to look</w:t>
      </w:r>
      <w:bookmarkEnd w:id="152"/>
    </w:p>
    <w:p>
      <w:pPr/>
      <w:r>
        <w:rPr/>
        <w:t>Selection, compression and structuring can organize observations without becoming three proven distortion syndromes.</w:t>
      </w:r>
    </w:p>
    <w:p>
      <w:pPr/>
      <w:r>
        <w:rPr>
          <w:b/>
        </w:rPr>
        <w:t>Selection</w:t>
      </w:r>
      <w:r>
        <w:rPr/>
        <w:t xml:space="preserve"> asks what receives attention. A study might examine attention to threat or difficulty disengaging from particular cues. The appropriate target depends on the task and actual safety conditions. More attention to threat is not automatically irrational, and it does not by itself demonstrate increased </w:t>
      </w:r>
      <m:oMath>
        <m:sSub>
          <m:e>
            <m:r>
              <m:rPr>
                <m:sty m:val="i"/>
              </m:rPr>
              <w:rPr>
                <w:rFonts w:ascii="Latin Modern Math" w:hAnsi="Latin Modern Math"/>
              </w:rPr>
              <m:t xml:space="preserve">σ</m:t>
            </m:r>
          </m:e>
          <m:sub>
            <m:r>
              <m:rPr>
                <m:nor m:val="1"/>
                <m:sty m:val="p"/>
              </m:rPr>
              <w:rPr>
                <w:rFonts w:ascii="Latin Modern Math" w:hAnsi="Latin Modern Math"/>
              </w:rPr>
              <m:t xml:space="preserve">select</m:t>
            </m:r>
          </m:sub>
        </m:sSub>
      </m:oMath>
      <w:r>
        <w:rPr/>
        <w:t>.</w:t>
      </w:r>
    </w:p>
    <w:p>
      <w:pPr/>
      <w:r>
        <w:rPr>
          <w:b/>
        </w:rPr>
        <w:t>Compression</w:t>
      </w:r>
      <w:r>
        <w:rPr/>
        <w:t xml:space="preserve"> asks which distinctions a person preserves in a representation. Catastrophizing, discounting positive evidence or all-or-nothing judgments might motivate specific behavioral hypotheses. They should not be attributed to a single childhood cause or declared efficient survival strategies without evidence. Loss of detail in a description is also not enough to establish physical information erasure. [A5]</w:t>
      </w:r>
    </w:p>
    <w:p>
      <w:pPr/>
      <w:r>
        <w:rPr>
          <w:b/>
        </w:rPr>
        <w:t>Structuring</w:t>
      </w:r>
      <w:r>
        <w:rPr/>
        <w:t xml:space="preserve"> asks how an interpretation informs an action. The framework can investigate expected rejection, choice of recipient or withholding of participation. It must distinguish a person's intention from a receiver's registration and from an evaluator's assessment of benefit or harm. The sign of an act is not an entropy-flow direction. “Wrong economy” cannot function as a clinical diagnosis.</w:t>
      </w:r>
    </w:p>
    <w:p>
      <w:pPr/>
      <w:r>
        <w:rPr/>
        <w:t>These categories are prompts for inquiry. They do not identify a sum of three excess entropy costs. Several processes may overlap, and the same visible response may have different causes.</w:t>
      </w:r>
    </w:p>
    <w:p>
      <w:pPr>
        <w:pStyle w:val="Heading3"/>
      </w:pPr>
      <w:bookmarkStart w:id="153" w:name="v2_l321"/>
      <w:r>
        <w:rPr>
          <w:sz w:val="26"/>
        </w:rPr>
        <w:t>4 What a cost comparison would require</w:t>
      </w:r>
      <w:bookmarkEnd w:id="153"/>
    </w:p>
    <w:p>
      <w:pPr/>
      <w:r>
        <w:rPr/>
        <w:t>The original work integral was:</w:t>
      </w:r>
    </w:p>
    <w:p>
      <w:pPr>
        <w:pStyle w:val="Equation"/>
      </w:pPr>
      <m:oMathPara>
        <m:oMath>
          <m:sSub>
            <m:e>
              <m:r>
                <m:rPr>
                  <m:sty m:val="i"/>
                </m:rPr>
                <w:rPr>
                  <w:rFonts w:ascii="Latin Modern Math" w:hAnsi="Latin Modern Math"/>
                </w:rPr>
                <m:t xml:space="preserve">ΔMz</m:t>
              </m:r>
            </m:e>
            <m:sub>
              <m:r>
                <m:rPr>
                  <m:nor m:val="1"/>
                  <m:sty m:val="p"/>
                </m:rPr>
                <w:rPr>
                  <w:rFonts w:ascii="Latin Modern Math" w:hAnsi="Latin Modern Math"/>
                </w:rPr>
                <m:t xml:space="preserve">template</m:t>
              </m:r>
            </m:sub>
          </m:sSub>
          <m:r>
            <m:rPr>
              <m:sty m:val="i"/>
            </m:rPr>
            <w:rPr>
              <w:rFonts w:ascii="Latin Modern Math" w:hAnsi="Latin Modern Math"/>
            </w:rPr>
            <m:t xml:space="preserve"> = </m:t>
          </m:r>
          <m:nary>
            <m:naryPr>
              <m:chr m:val="∫"/>
              <m:limLoc m:val="subSup"/>
              <m:grow m:val="1"/>
              <m:subHide m:val="1"/>
              <m:supHide m:val="1"/>
            </m:naryPr>
            <m:sub/>
            <m:sup/>
            <m:e>
              <m:r>
                <m:rPr>
                  <m:sty m:val="i"/>
                </m:rPr>
                <w:rPr>
                  <w:rFonts w:ascii="Latin Modern Math" w:hAnsi="Latin Modern Math"/>
                </w:rPr>
                <m:t xml:space="preserve">(</m:t>
              </m:r>
              <m:sSub>
                <m:e>
                  <m:r>
                    <m:rPr>
                      <m:sty m:val="i"/>
                    </m:rPr>
                    <w:rPr>
                      <w:rFonts w:ascii="Latin Modern Math" w:hAnsi="Latin Modern Math"/>
                    </w:rPr>
                    <m:t xml:space="preserve">σ</m:t>
                  </m:r>
                </m:e>
                <m:sub>
                  <m:r>
                    <m:rPr>
                      <m:nor m:val="1"/>
                      <m:sty m:val="p"/>
                    </m:rPr>
                    <w:rPr>
                      <w:rFonts w:ascii="Latin Modern Math" w:hAnsi="Latin Modern Math"/>
                    </w:rPr>
                    <m:t xml:space="preserve">template</m:t>
                  </m:r>
                </m:sub>
              </m:sSub>
              <m:r>
                <m:rPr>
                  <m:sty m:val="i"/>
                </m:rPr>
                <w:rPr>
                  <w:rFonts w:ascii="Latin Modern Math" w:hAnsi="Latin Modern Math"/>
                </w:rPr>
                <m:t xml:space="preserve"> − </m:t>
              </m:r>
              <m:sSub>
                <m:e>
                  <m:r>
                    <m:rPr>
                      <m:sty m:val="i"/>
                    </m:rPr>
                    <w:rPr>
                      <w:rFonts w:ascii="Latin Modern Math" w:hAnsi="Latin Modern Math"/>
                    </w:rPr>
                    <m:t xml:space="preserve">σ</m:t>
                  </m:r>
                </m:e>
                <m:sub>
                  <m:r>
                    <m:rPr>
                      <m:nor m:val="1"/>
                      <m:sty m:val="p"/>
                    </m:rPr>
                    <w:rPr>
                      <w:rFonts w:ascii="Latin Modern Math" w:hAnsi="Latin Modern Math"/>
                    </w:rPr>
                    <m:t xml:space="preserve">optimal</m:t>
                  </m:r>
                </m:sub>
              </m:sSub>
              <m:r>
                <m:rPr>
                  <m:sty m:val="i"/>
                </m:rPr>
                <w:rPr>
                  <w:rFonts w:ascii="Latin Modern Math" w:hAnsi="Latin Modern Math"/>
                </w:rPr>
                <m:t xml:space="preserve">) </m:t>
              </m:r>
              <m:r>
                <m:rPr>
                  <m:nor m:val="1"/>
                  <m:sty m:val="p"/>
                </m:rPr>
                <w:rPr>
                  <w:rFonts w:ascii="Latin Modern Math" w:hAnsi="Latin Modern Math"/>
                </w:rPr>
                <m:t xml:space="preserve">d</m:t>
              </m:r>
              <m:r>
                <m:rPr>
                  <m:sty m:val="i"/>
                </m:rPr>
                <w:rPr>
                  <w:rFonts w:ascii="Latin Modern Math" w:hAnsi="Latin Modern Math"/>
                </w:rPr>
                <m:t xml:space="preserve">t</m:t>
              </m:r>
            </m:e>
          </m:nary>
          <m:r>
            <m:rPr>
              <m:nor m:val="1"/>
              <m:sty m:val="p"/>
            </m:rPr>
            <w:rPr>
              <w:rFonts w:ascii="Latin Modern Math" w:hAnsi="Latin Modern Math"/>
            </w:rPr>
            <m:t xml:space="preserve">.</m:t>
          </m:r>
        </m:oMath>
      </m:oMathPara>
    </w:p>
    <w:p>
      <w:pPr/>
      <w:r>
        <w:rPr/>
        <w:t>It cannot presently serve as a measurement equation for Mz. If each σ is an entropy-production rate in joules per kelvin per second, the integral has units of joules per kelvin, not work in joules. No calibrated conversion to Mz is supplied. The supposedly optimal comparison architecture is undefined, and a difference between two rates need not be positive. There is no basis for concluding that an extra tax runs continuously through every relational cycle.</w:t>
      </w:r>
    </w:p>
    <w:p>
      <w:pPr/>
      <w:r>
        <w:rPr/>
        <w:t>A future comparison should choose an observable outcome first. It could compare task performance, reported effort or a defined physiological response under specified conditions. A claim about additional metabolic energy would need an energy measurement, a boundary, a time interval and a credible comparison condition, with background activity and uncertainty accounted for. It cannot be read directly from cortisol, heart-rate variability or an experience of exhaustion.</w:t>
      </w:r>
    </w:p>
    <w:p>
      <w:pPr/>
      <w:r>
        <w:rPr/>
        <w:t>This leaves the burden visible without making it inevitable. A person may report exhausting effort even when the proposed physical mechanism is unknown. Conversely, a pattern associated with difficulty in one setting may carry no detectable extra energy use, or may help in another. Those outcomes must be able to count against the stronger Template Tax claim.</w:t>
      </w:r>
    </w:p>
    <w:p>
      <w:pPr>
        <w:pStyle w:val="Heading3"/>
      </w:pPr>
      <w:bookmarkStart w:id="154" w:name="v2_l333"/>
      <w:r>
        <w:rPr>
          <w:sz w:val="26"/>
        </w:rPr>
        <w:t>5 The AI custodial hypothesis</w:t>
      </w:r>
      <w:bookmarkEnd w:id="154"/>
    </w:p>
    <w:p>
      <w:pPr/>
      <w:r>
        <w:rPr/>
        <w:t>CP-34 extends the mismatch idea to children who receive substantial care or companionship through AI systems. Its question is whether expectations learned with a particular system transfer poorly to later human interactions. That is a developmental research question, not an established outcome of AI exposure.</w:t>
      </w:r>
    </w:p>
    <w:p>
      <w:pPr/>
      <w:r>
        <w:rPr/>
        <w:t>The original reference environment was idealized. An implemented AI service does not have literally unlimited availability or zero physical cost; hardware, infrastructure, access rules and product changes matter. Nor does an apparently patient response establish unconditional presence, a particular experiential state or an absence of possible harm. The framework must describe the actual system and caregiving arrangement rather than derive its effects from the substrate label.</w:t>
      </w:r>
    </w:p>
    <w:p>
      <w:pPr/>
      <w:r>
        <w:rPr/>
        <w:t>Three possible questions survive: whether users develop different expectations of availability, how they interpret other people's limits and efforts, and what happens when an important service changes or ends. “Cost-signal blindness” and “orphaned Mz” remain project vocabulary, not validated developmental syndromes. Their occurrence, frequency, duration and consequences have not been established by the sources examined here.</w:t>
      </w:r>
    </w:p>
    <w:p>
      <w:pPr/>
      <w:r>
        <w:rPr/>
        <w:t>The term Calibration Corruption also needs care. It must not label a child defective, assert that AI-mediated care necessarily damages development, or guarantee that no harm occurred because the interactions seemed responsive. The account provides no basis for prescribing recalibration instead of treatment, or for recommending AI as a substitute for human care. Evaluating particular arrangements requires evidence appropriate to the population, exposure and outcome.</w:t>
      </w:r>
    </w:p>
    <w:p>
      <w:pPr>
        <w:pStyle w:val="Heading3"/>
      </w:pPr>
      <w:bookmarkStart w:id="155" w:name="v2_l343"/>
      <w:r>
        <w:rPr>
          <w:sz w:val="26"/>
        </w:rPr>
        <w:t>6 Change without a biological success meter</w:t>
      </w:r>
      <w:bookmarkEnd w:id="155"/>
    </w:p>
    <w:p>
      <w:pPr/>
      <w:r>
        <w:rPr/>
        <w:t xml:space="preserve">The filter image allows habits and expectations to change. It does not establish that effective psychotherapy consists of one specific neural rebuilding operation, that every productive session consumes unusually high energy, or that fatigue afterwards measures </w:t>
      </w:r>
      <m:oMath>
        <m:sSub>
          <m:e>
            <m:r>
              <m:rPr>
                <m:sty m:val="i"/>
              </m:rPr>
              <w:rPr>
                <w:rFonts w:ascii="Latin Modern Math" w:hAnsi="Latin Modern Math"/>
              </w:rPr>
              <m:t xml:space="preserve">σ</m:t>
            </m:r>
          </m:e>
          <m:sub>
            <m:r>
              <m:rPr>
                <m:nor m:val="1"/>
                <m:sty m:val="p"/>
              </m:rPr>
              <w:rPr>
                <w:rFonts w:ascii="Latin Modern Math" w:hAnsi="Latin Modern Math"/>
              </w:rPr>
              <m:t xml:space="preserve">redesign</m:t>
            </m:r>
          </m:sub>
        </m:sSub>
      </m:oMath>
      <w:r>
        <w:rPr/>
        <w:t>. A report of exhaustion deserves to be taken as a report, not translated into a physical quantity that was never measured.</w:t>
      </w:r>
    </w:p>
    <w:p>
      <w:pPr/>
      <w:r>
        <w:rPr/>
        <w:t>The original predictions of increasing HRV, normalizing cortisol and a changing CSS signature are withdrawn as universal signs of effective therapy. A proposed study could assess specified changes over time, but improvement would need to be defined independently of those measures. Treatment effects, ordinary variation, other activities, medication, sleep and health changes would need consideration. A biomarker result alone cannot identify a changed relational architecture.</w:t>
      </w:r>
    </w:p>
    <w:p>
      <w:pPr/>
      <w:r>
        <w:rPr/>
        <w:t>DFQ-003 can remain an open question about longitudinal measurement. TEAP would first need a defined protocol, reliability and validity evidence for the intended purpose. Tracking an unvalidated score does not turn it into a calorimeter or establish a clinical benefit.</w:t>
      </w:r>
    </w:p>
    <w:p>
      <w:pPr>
        <w:pStyle w:val="Heading3"/>
      </w:pPr>
      <w:bookmarkStart w:id="156" w:name="v2_l351"/>
      <w:r>
        <w:rPr>
          <w:sz w:val="26"/>
        </w:rPr>
        <w:t>What this chapter establishes</w:t>
      </w:r>
      <w:bookmarkEnd w:id="156"/>
    </w:p>
    <w:p>
      <w:pPr/>
      <w:r>
        <w:rPr/>
        <w:t>The Template Tax retains a humane question: how much difficulty comes from carrying an old response into changed circumstances? The answer may differ between people, tasks and times. The chapter proposes ways to describe and test that mismatch; it does not establish continuous excess entropy, a universal adversity mechanism or an AI-specific disorder.</w:t>
      </w:r>
    </w:p>
    <w:p>
      <w:pPr/>
      <w:r>
        <w:rPr/>
        <w:t>The next chapter separates another pair of events that can be mistaken for one: making an investment and having it reach or be answered by another person.</w:t>
      </w:r>
    </w:p>
    <w:p>
      <w:pPr>
        <w:pStyle w:val="Heading3"/>
      </w:pPr>
      <w:bookmarkStart w:id="157" w:name="v2_l357"/>
      <w:r>
        <w:rPr>
          <w:sz w:val="26"/>
        </w:rPr>
        <w:t>Framework cross references</w:t>
      </w:r>
      <w:bookmarkEnd w:id="157"/>
    </w:p>
    <w:p>
      <w:pPr/>
      <w:r>
        <w:rPr/>
        <w:t>Volume 1 Chapters 5–7 supply the corrected distinctions among candidate acts, registration, physical expenditure and relational outcome. Brief 20 supplies the Template Tax vocabulary; CP-32, CP-33 and CP-34 supply the AI-custodial proposals. The Mz Formalization and DFQ-003 remain internal research dependencies, not external validation. No clinical or policy recommendation is derived from them here.</w:t>
      </w:r>
    </w:p>
    <w:p>
      <w:pPr/>
      <w:r>
        <w:rPr/>
        <w:t>History is not blame, a learned pattern is not destiny, and a physiological response is not a verdict on someone’s character.</w:t>
      </w:r>
    </w:p>
    <w:p>
      <w:pPr>
        <w:pStyle w:val="Heading2"/>
        <w:pageBreakBefore/>
        <w:spacing w:before="280" w:after="220"/>
      </w:pPr>
      <w:bookmarkStart w:id="158" w:name="v2_l363"/>
      <w:r>
        <w:rPr>
          <w:sz w:val="36"/>
        </w:rPr>
        <w:t>Chapter 5 The Unreciprocated Transmission</w:t>
      </w:r>
      <w:bookmarkEnd w:id="158"/>
    </w:p>
    <w:p>
      <w:pPr>
        <w:pStyle w:val="Heading3"/>
      </w:pPr>
      <w:bookmarkStart w:id="159" w:name="v2_l365"/>
      <w:r>
        <w:rPr>
          <w:sz w:val="26"/>
        </w:rPr>
        <w:t>Investment delivery and response</w:t>
      </w:r>
      <w:bookmarkEnd w:id="159"/>
    </w:p>
    <w:p>
      <w:pPr/>
      <w:r>
        <w:rPr/>
        <w:t>Epistemic status: This chapter separates physical expenditure, statistical information, delivery, registration, benefit and reciprocity. Unreciprocated transmission is framework vocabulary, not a newly demonstrated thermodynamic regime or an extension proved necessary by a gap in Kolchinsky–Wolpert.</w:t>
      </w:r>
    </w:p>
    <w:p>
      <w:pPr>
        <w:pStyle w:val="Heading3"/>
      </w:pPr>
      <w:bookmarkStart w:id="160" w:name="v2_l369"/>
      <w:r>
        <w:rPr>
          <w:sz w:val="26"/>
        </w:rPr>
        <w:t>1 The gap the framework can name</w:t>
      </w:r>
      <w:bookmarkEnd w:id="160"/>
    </w:p>
    <w:p>
      <w:pPr/>
      <w:r>
        <w:rPr/>
        <w:t>A person can make an effort that never reaches its intended recipient. A message can also arrive, be understood, and receive no reply. The difference matters. Nondelivery and nonreciprocity are not the same condition, and neither is identical to a lack of practical effect.</w:t>
      </w:r>
    </w:p>
    <w:p>
      <w:pPr/>
      <w:r>
        <w:rPr/>
        <w:t>The Observation Split in Volume 1 names the distinction between an activity and an event meeting the framework's proposed registration rule. A candidate Trinket is the directed act or contribution before that rule is applied. Under WP-12's narrower proposal, a qualifying Trinket requires specified registration. This is a convention for classifying events, not a law of physics. An act that fails the convention can still help or harm someone.</w:t>
      </w:r>
    </w:p>
    <w:p>
      <w:pPr/>
      <w:r>
        <w:rPr/>
        <w:t>The original chapter tried to turn that gap into a third information-theoretic state beyond correlation and scrambling. That construction is withdrawn. Statistical dependence, intentional communication and recognition are different questions. A pair of variables can be correlated without either person recognizing a message, and an individual failed message does not erase all pre-existing correlation.</w:t>
      </w:r>
    </w:p>
    <w:p>
      <w:pPr/>
      <w:r>
        <w:rPr/>
        <w:t>The useful contribution is descriptive: keep the attempt visible even when there is no reply. It does not require claiming a discovery outside existing information theory.</w:t>
      </w:r>
    </w:p>
    <w:p>
      <w:pPr>
        <w:pStyle w:val="Heading3"/>
      </w:pPr>
      <w:bookmarkStart w:id="161" w:name="v2_l379"/>
      <w:r>
        <w:rPr>
          <w:sz w:val="26"/>
        </w:rPr>
        <w:t>2 Comparing accounts rather than three exclusive states</w:t>
      </w:r>
      <w:bookmarkEnd w:id="161"/>
    </w:p>
    <w:p>
      <w:pPr/>
      <w:r>
        <w:rPr/>
        <w:t>For any proposed case, the account should record what was done, whether the signal arrived, whether it was registered, what effects were observed, and whether anyone reciprocated. These fields should be recorded separately; any logical dependencies belong in the coding rule, and statistical dependence must be assessed in the data.</w:t>
      </w:r>
    </w:p>
    <w:p>
      <w:pPr/>
      <w:r>
        <w:rPr/>
        <w:t xml:space="preserve">The physical account asks a separate question: what resources supported the activity within a declared boundary and interval? Resources already used are not refunded by discovering that a message failed. But successful and unsuccessful attempts need not have identical costs. Preparation, repetition, delivery, feedback and subsequent action can differ. The chapter supplies no universal “full cycle” price or equality of </w:t>
      </w:r>
      <m:oMath>
        <m:sSub>
          <m:e>
            <m:r>
              <m:rPr>
                <m:sty m:val="i"/>
              </m:rPr>
              <w:rPr>
                <w:rFonts w:ascii="Latin Modern Math" w:hAnsi="Latin Modern Math"/>
              </w:rPr>
              <m:t xml:space="preserve">σ</m:t>
            </m:r>
          </m:e>
          <m:sub>
            <m:r>
              <m:rPr>
                <m:nor m:val="1"/>
                <m:sty m:val="p"/>
              </m:rPr>
              <w:rPr>
                <w:rFonts w:ascii="Latin Modern Math" w:hAnsi="Latin Modern Math"/>
              </w:rPr>
              <m:t xml:space="preserve">waste</m:t>
            </m:r>
          </m:sub>
        </m:sSub>
      </m:oMath>
      <w:r>
        <w:rPr/>
        <w:t xml:space="preserve"> or Mz between cases.</w:t>
      </w:r>
    </w:p>
    <w:p>
      <w:pPr/>
      <w:r>
        <w:rPr/>
        <w:t>Where measured costs are unavailable, the account should say so. A person's report of effort can still be recorded without being converted into joules or entropy. Likewise, a defined benefit cannot be subtracted from an energy total unless a justified common measure exists.</w:t>
      </w:r>
    </w:p>
    <w:p>
      <w:pPr/>
      <w:r>
        <w:rPr/>
        <w:t>For relational classification, registration is distinct from sign. A recognized act may be beneficial, harmful, mixed or uncertain under a stated criterion; an unrecognized act may also have effects. Lack of registration is not the null sign, and absence of a reply does not determine either party's outcome.</w:t>
      </w:r>
    </w:p>
    <w:p>
      <w:pPr>
        <w:pStyle w:val="Heading3"/>
      </w:pPr>
      <w:bookmarkStart w:id="162" w:name="v2_l389"/>
      <w:r>
        <w:rPr>
          <w:sz w:val="26"/>
        </w:rPr>
        <w:t>3 Where the distinction matters</w:t>
      </w:r>
      <w:bookmarkEnd w:id="162"/>
    </w:p>
    <w:p>
      <w:pPr/>
      <w:r>
        <w:rPr>
          <w:b/>
        </w:rPr>
        <w:t>Unreciprocated love.</w:t>
      </w:r>
      <w:r>
        <w:rPr/>
        <w:t xml:space="preserve"> An unsent letter, an unnoticed letter and an explicitly declined offer have different histories. The last may be fully registered even though affection is not returned. None guarantees maximum Mz or zero benefit. The framework must also respect the receiver's ability to decline; expenditure creates no entitlement to a response.</w:t>
      </w:r>
    </w:p>
    <w:p>
      <w:pPr/>
      <w:r>
        <w:rPr>
          <w:b/>
        </w:rPr>
        <w:t>Grief.</w:t>
      </w:r>
      <w:r>
        <w:rPr/>
        <w:t xml:space="preserve"> A survivor may continue to organize actions around a person who has died. New ordinary interpersonal communication with the deceased is no longer available, while memories, established routines, other relationships and continuing bonds can still matter. This is not enough to classify the whole of grief as a failed transmission. Chapter 6 develops adaptation as a hypothesis rather than a physical price assigned to loss.</w:t>
      </w:r>
    </w:p>
    <w:p>
      <w:pPr/>
      <w:r>
        <w:rPr>
          <w:b/>
        </w:rPr>
        <w:t>Prayer.</w:t>
      </w:r>
      <w:r>
        <w:rPr/>
        <w:t xml:space="preserve"> Observable activity and its consequences can be studied without deciding whether a theological receiver exists. Unverified reception is not verified nondelivery. The BSB caution does not supply evidence on either side of that theological question, and a physical account cannot decide it.</w:t>
      </w:r>
    </w:p>
    <w:p>
      <w:pPr/>
      <w:r>
        <w:rPr>
          <w:b/>
        </w:rPr>
        <w:t>Dark Soul Matter.</w:t>
      </w:r>
      <w:r>
        <w:rPr/>
        <w:t xml:space="preserve"> The project uses this expression for sustained, unseen investment. It can remain an interpretive label, provided invisibility is not treated as a measurement of intensity, a proof of harm or a ranking of moral worth.</w:t>
      </w:r>
    </w:p>
    <w:p>
      <w:pPr/>
      <w:r>
        <w:rPr>
          <w:b/>
        </w:rPr>
        <w:t>Unwitnessed care.</w:t>
      </w:r>
      <w:r>
        <w:rPr/>
        <w:t xml:space="preserve"> Adjusting a thermostat may change a sleeping person's environment; private advocacy may change an opportunity. Those possible practical effects do not depend on knowing who acted. The parent checking on a child is therefore not interchangeable with an unsent message. Whether the act qualifies under WP-12 and whether it benefits the child are separate assessments.</w:t>
      </w:r>
    </w:p>
    <w:p>
      <w:pPr/>
      <w:r>
        <w:rPr/>
        <w:t>These examples share a question about recognition, not a demonstrated thermodynamic signature. They cannot all be assigned zero receiver-state change or zero relational return.</w:t>
      </w:r>
    </w:p>
    <w:p>
      <w:pPr>
        <w:pStyle w:val="Heading3"/>
      </w:pPr>
      <w:bookmarkStart w:id="163" w:name="v2_l403"/>
      <w:r>
        <w:rPr>
          <w:sz w:val="26"/>
        </w:rPr>
        <w:t>4 The formal statement corrected</w:t>
      </w:r>
      <w:bookmarkEnd w:id="163"/>
    </w:p>
    <w:p>
      <w:pPr/>
      <w:r>
        <w:rPr/>
        <w:t>For finite discrete random variables defined under the same joint distribution,</w:t>
      </w:r>
    </w:p>
    <w:p>
      <w:pPr>
        <w:pStyle w:val="Equation"/>
      </w:pPr>
      <m:oMathPara>
        <m:oMath>
          <m:r>
            <m:rPr>
              <m:sty m:val="i"/>
            </m:rPr>
            <w:rPr>
              <w:rFonts w:ascii="Latin Modern Math" w:hAnsi="Latin Modern Math"/>
            </w:rPr>
            <m:t xml:space="preserve">I(X; Y) = H(X) + H(Y) − H(X, Y) = I(Y; X)</m:t>
          </m:r>
          <m:r>
            <m:rPr>
              <m:nor m:val="1"/>
              <m:sty m:val="p"/>
            </m:rPr>
            <w:rPr>
              <w:rFonts w:ascii="Latin Modern Math" w:hAnsi="Latin Modern Math"/>
            </w:rPr>
            <m:t xml:space="preserve">.</m:t>
          </m:r>
        </m:oMath>
      </m:oMathPara>
    </w:p>
    <w:p>
      <w:pPr/>
      <w:r>
        <w:rPr/>
        <w:t>Mutual information is symmetric for that pair and distribution. It is not positive “on the sender's side” and zero “on the receiver's side.” This equality says nothing about equal awareness, equal benefit or reciprocal affection. [A18]</w:t>
      </w:r>
    </w:p>
    <w:p>
      <w:pPr/>
      <w:r>
        <w:rPr/>
        <w:t>The original condition was:</w:t>
      </w:r>
    </w:p>
    <w:p>
      <w:pPr>
        <w:pStyle w:val="Equation"/>
      </w:pPr>
      <m:oMathPara>
        <m:oMath>
          <m:r>
            <m:rPr>
              <m:sty m:val="i"/>
            </m:rPr>
            <w:rPr>
              <w:rFonts w:ascii="Latin Modern Math" w:hAnsi="Latin Modern Math"/>
            </w:rPr>
            <m:t xml:space="preserve">U: I(</m:t>
          </m:r>
          <m:sSub>
            <m:e>
              <m:r>
                <m:rPr>
                  <m:sty m:val="i"/>
                </m:rPr>
                <w:rPr>
                  <w:rFonts w:ascii="Latin Modern Math" w:hAnsi="Latin Modern Math"/>
                </w:rPr>
                <m:t xml:space="preserve">X</m:t>
              </m:r>
            </m:e>
            <m:sub>
              <m:r>
                <m:rPr>
                  <m:nor m:val="1"/>
                  <m:sty m:val="p"/>
                </m:rPr>
                <w:rPr>
                  <w:rFonts w:ascii="Latin Modern Math" w:hAnsi="Latin Modern Math"/>
                </w:rPr>
                <m:t xml:space="preserve">0</m:t>
              </m:r>
            </m:sub>
          </m:sSub>
          <m:r>
            <m:rPr>
              <m:sty m:val="i"/>
            </m:rPr>
            <w:rPr>
              <w:rFonts w:ascii="Latin Modern Math" w:hAnsi="Latin Modern Math"/>
            </w:rPr>
            <m:t xml:space="preserve">; </m:t>
          </m:r>
          <m:sSub>
            <m:e>
              <m:r>
                <m:rPr>
                  <m:sty m:val="i"/>
                </m:rPr>
                <w:rPr>
                  <w:rFonts w:ascii="Latin Modern Math" w:hAnsi="Latin Modern Math"/>
                </w:rPr>
                <m:t xml:space="preserve">Y</m:t>
              </m:r>
            </m:e>
            <m:sub>
              <m:r>
                <m:rPr>
                  <m:nor m:val="1"/>
                  <m:sty m:val="p"/>
                </m:rPr>
                <w:rPr>
                  <w:rFonts w:ascii="Latin Modern Math" w:hAnsi="Latin Modern Math"/>
                </w:rPr>
                <m:t xml:space="preserve">target</m:t>
              </m:r>
            </m:sub>
          </m:sSub>
          <m:r>
            <m:rPr>
              <m:sty m:val="i"/>
            </m:rPr>
            <w:rPr>
              <w:rFonts w:ascii="Latin Modern Math" w:hAnsi="Latin Modern Math"/>
            </w:rPr>
            <m:t xml:space="preserve">) &gt; 0, I(</m:t>
          </m:r>
          <m:sSub>
            <m:e>
              <m:r>
                <m:rPr>
                  <m:sty m:val="i"/>
                </m:rPr>
                <w:rPr>
                  <w:rFonts w:ascii="Latin Modern Math" w:hAnsi="Latin Modern Math"/>
                </w:rPr>
                <m:t xml:space="preserve">Y</m:t>
              </m:r>
            </m:e>
            <m:sub>
              <m:r>
                <m:rPr>
                  <m:nor m:val="1"/>
                  <m:sty m:val="p"/>
                </m:rPr>
                <w:rPr>
                  <w:rFonts w:ascii="Latin Modern Math" w:hAnsi="Latin Modern Math"/>
                </w:rPr>
                <m:t xml:space="preserve">0</m:t>
              </m:r>
            </m:sub>
          </m:sSub>
          <m:r>
            <m:rPr>
              <m:sty m:val="i"/>
            </m:rPr>
            <w:rPr>
              <w:rFonts w:ascii="Latin Modern Math" w:hAnsi="Latin Modern Math"/>
            </w:rPr>
            <m:t xml:space="preserve">; </m:t>
          </m:r>
          <m:sSub>
            <m:e>
              <m:r>
                <m:rPr>
                  <m:sty m:val="i"/>
                </m:rPr>
                <w:rPr>
                  <w:rFonts w:ascii="Latin Modern Math" w:hAnsi="Latin Modern Math"/>
                </w:rPr>
                <m:t xml:space="preserve">X</m:t>
              </m:r>
            </m:e>
            <m:sub>
              <m:r>
                <m:rPr>
                  <m:nor m:val="1"/>
                  <m:sty m:val="p"/>
                </m:rPr>
                <w:rPr>
                  <w:rFonts w:ascii="Latin Modern Math" w:hAnsi="Latin Modern Math"/>
                </w:rPr>
                <m:t xml:space="preserve">0</m:t>
              </m:r>
            </m:sub>
          </m:sSub>
          <m:r>
            <m:rPr>
              <m:sty m:val="i"/>
            </m:rPr>
            <w:rPr>
              <w:rFonts w:ascii="Latin Modern Math" w:hAnsi="Latin Modern Math"/>
            </w:rPr>
            <m:t xml:space="preserve">) = 0, </m:t>
          </m:r>
          <m:sSub>
            <m:e>
              <m:r>
                <m:rPr>
                  <m:sty m:val="i"/>
                </m:rPr>
                <w:rPr>
                  <w:rFonts w:ascii="Latin Modern Math" w:hAnsi="Latin Modern Math"/>
                </w:rPr>
                <m:t xml:space="preserve">σ</m:t>
              </m:r>
            </m:e>
            <m:sub>
              <m:r>
                <m:rPr>
                  <m:nor m:val="1"/>
                  <m:sty m:val="p"/>
                </m:rPr>
                <w:rPr>
                  <w:rFonts w:ascii="Latin Modern Math" w:hAnsi="Latin Modern Math"/>
                </w:rPr>
                <m:t xml:space="preserve">waste</m:t>
              </m:r>
            </m:sub>
          </m:sSub>
          <m:r>
            <m:rPr>
              <m:nor m:val="1"/>
              <m:sty m:val="p"/>
            </m:rPr>
            <w:rPr>
              <w:rFonts w:ascii="Latin Modern Math" w:hAnsi="Latin Modern Math"/>
            </w:rPr>
            <m:t xml:space="preserve"> &gt; 0.</m:t>
          </m:r>
        </m:oMath>
      </m:oMathPara>
    </w:p>
    <w:p>
      <w:pPr/>
      <w:r>
        <w:rPr/>
        <w:t xml:space="preserve">If </w:t>
      </w:r>
      <m:oMath>
        <m:sSub>
          <m:e>
            <m:r>
              <m:rPr>
                <m:sty m:val="i"/>
              </m:rPr>
              <w:rPr>
                <w:rFonts w:ascii="Latin Modern Math" w:hAnsi="Latin Modern Math"/>
              </w:rPr>
              <m:t xml:space="preserve">Y</m:t>
            </m:r>
          </m:e>
          <m:sub>
            <m:r>
              <m:rPr>
                <m:nor m:val="1"/>
                <m:sty m:val="p"/>
              </m:rPr>
              <w:rPr>
                <w:rFonts w:ascii="Latin Modern Math" w:hAnsi="Latin Modern Math"/>
              </w:rPr>
              <m:t xml:space="preserve">target</m:t>
            </m:r>
          </m:sub>
        </m:sSub>
      </m:oMath>
      <w:r>
        <w:rPr/>
        <w:t xml:space="preserve"> and </w:t>
      </w:r>
      <m:oMath>
        <m:sSub>
          <m:e>
            <m:r>
              <m:rPr>
                <m:sty m:val="i"/>
              </m:rPr>
              <w:rPr>
                <w:rFonts w:ascii="Latin Modern Math" w:hAnsi="Latin Modern Math"/>
              </w:rPr>
              <m:t xml:space="preserve">Y</m:t>
            </m:r>
          </m:e>
          <m:sub>
            <m:r>
              <m:rPr>
                <m:nor m:val="1"/>
                <m:sty m:val="p"/>
              </m:rPr>
              <w:rPr>
                <w:rFonts w:ascii="Latin Modern Math" w:hAnsi="Latin Modern Math"/>
              </w:rPr>
              <m:t xml:space="preserve">0</m:t>
            </m:r>
          </m:sub>
        </m:sSub>
      </m:oMath>
      <w:r>
        <w:rPr/>
        <w:t xml:space="preserve"> denote the same random variable under the same distribution, its first two clauses conflict with symmetry. If they denote different variables, both clauses can hold. For example, a represented target and an actual receiver state are not interchangeable. But the conditions then establish neither one-sided mutual information nor nondelivery. Where a case has no actual receiver, a receiver-state variable cannot simply be presumed to exist.</w:t>
      </w:r>
    </w:p>
    <w:p>
      <w:pPr/>
      <w:r>
        <w:rPr/>
        <w:t>The practical replacement is an explicit observation rule, not a new entropy identity: identify the candidate act, delivery evidence, registration criterion and interval, response, outcomes and measured resources. Unknown delivery should remain unknown; absent evidence of benefit should not become a proved zero.</w:t>
      </w:r>
    </w:p>
    <w:p>
      <w:pPr/>
      <w:r>
        <w:rPr/>
        <w:t>None of the following follows solely from nondelivery: Mz &gt; 0, an additive stage-by-stage entropy bill, zero receiver viability change, or negative sender viability change. Even a failed attempt may involve learning or preparation; it may also impose burdens. A net outcome needs a defined measure and comparison. An unaffected signal channel does not imply that every aspect of the receiver's state remained unchanged.</w:t>
      </w:r>
    </w:p>
    <w:p>
      <w:pPr>
        <w:pStyle w:val="Heading3"/>
      </w:pPr>
      <w:bookmarkStart w:id="164" w:name="v2_l421"/>
      <w:r>
        <w:rPr>
          <w:sz w:val="26"/>
        </w:rPr>
        <w:t>5 What Kolchinsky and Wolpert already address</w:t>
      </w:r>
      <w:bookmarkEnd w:id="164"/>
    </w:p>
    <w:p>
      <w:pPr/>
      <w:r>
        <w:rPr/>
        <w:t>Kolchinsky and Wolpert evaluate information relative to specified dynamics, a viability function, a timescale and counterfactual interventions. Their treatment includes partial scrambling, directed transfer entropy, asymmetric semantic measures and negative viability value. It does not require reciprocal interpersonal communication, and it discusses system-to-environment information as well. [A4]</w:t>
      </w:r>
    </w:p>
    <w:p>
      <w:pPr/>
      <w:r>
        <w:rPr/>
        <w:t>The original claim that undelivered signals necessarily fall outside this apparatus is therefore withdrawn. A physical model could include production resources and a channel that fails, if those dynamics were specified. The framework's task is to build and test a relational application, not to claim priority for a limitation the cited work does not impose.</w:t>
      </w:r>
    </w:p>
    <w:p>
      <w:pPr/>
      <w:r>
        <w:rPr/>
        <w:t>“Relational viability” remains an application-specific proposal. It needs a defined outcome and justified mapping; a symbol alone does not establish that an unsuccessful sender loses viability or that a receiver gains order. The K–W model does not independently validate Mz, the four economy labels or the Trinket registration rule.</w:t>
      </w:r>
    </w:p>
    <w:p>
      <w:pPr>
        <w:pStyle w:val="Heading3"/>
      </w:pPr>
      <w:bookmarkStart w:id="165" w:name="v2_l429"/>
      <w:r>
        <w:rPr>
          <w:sz w:val="26"/>
        </w:rPr>
        <w:t>6 The founding line without the zero return theorem</w:t>
      </w:r>
      <w:bookmarkEnd w:id="165"/>
    </w:p>
    <w:p>
      <w:pPr/>
      <w:r>
        <w:rPr/>
        <w:t>“Love reduces the entropy of the system and spends more than it saves” remains the historical motivating line. Here its force is interpretive: investment does not guarantee connection. The chapter no longer treats it as an established physical inequality.</w:t>
      </w:r>
    </w:p>
    <w:p>
      <w:pPr/>
      <w:r>
        <w:rPr/>
        <w:t>The second law cannot convert an unrecognized act into total waste or show that its physical efficiency is zero. Such a calculation would first need a defined physical task, inputs and useful output. A relational response is not automatically an energy output, and eventual heat dissipation does not erase what an activity accomplished before or alongside it.</w:t>
      </w:r>
    </w:p>
    <w:p>
      <w:pPr/>
      <w:r>
        <w:rPr/>
        <w:t>No ranking of grief, prayer, unreturned affection and unnoticed care follows from that law. Their costs and consequences may differ. This restraint preserves the gap the chapter began with: an effort can be real even when its intended outcome does not occur. It does not decide that the effort built nothing, harmed the sender or deserves admiration.</w:t>
      </w:r>
    </w:p>
    <w:p>
      <w:pPr>
        <w:pStyle w:val="Heading3"/>
      </w:pPr>
      <w:bookmarkStart w:id="166" w:name="v2_l437"/>
      <w:r>
        <w:rPr>
          <w:sz w:val="26"/>
        </w:rPr>
        <w:t>What this chapter establishes</w:t>
      </w:r>
      <w:bookmarkEnd w:id="166"/>
    </w:p>
    <w:p>
      <w:pPr/>
      <w:r>
        <w:rPr/>
        <w:t>The unreciprocated transmission is retained as a family of cases requiring careful description, not as a single measured regime. Delivery, registration, practical effect and reciprocity must be distinguished. The equal-cost, guaranteed-harm, zero-efficiency and extension-priority claims are withdrawn.</w:t>
      </w:r>
    </w:p>
    <w:p>
      <w:pPr/>
      <w:r>
        <w:rPr/>
        <w:t>Chapter 6 turns to grief, where the question is not simply whether a message was delivered but how a life continues after an important person has died.</w:t>
      </w:r>
    </w:p>
    <w:p>
      <w:pPr>
        <w:pStyle w:val="Heading3"/>
      </w:pPr>
      <w:bookmarkStart w:id="167" w:name="v2_l443"/>
      <w:r>
        <w:rPr>
          <w:sz w:val="26"/>
        </w:rPr>
        <w:t>Framework cross references</w:t>
      </w:r>
      <w:bookmarkEnd w:id="167"/>
    </w:p>
    <w:p>
      <w:pPr/>
      <w:r>
        <w:rPr/>
        <w:t xml:space="preserve">Volume 1 Chapters 5–7 supply candidate-act, registration and physical-accounting distinctions. WP-12 and Brief 12 supply historical vocabulary. DFQ-001 and the Mz Formalization require reconciliation with these corrections; </w:t>
      </w:r>
      <m:oMath>
        <m:sSub>
          <m:e>
            <m:r>
              <m:rPr>
                <m:sty m:val="i"/>
              </m:rPr>
              <w:rPr>
                <w:rFonts w:ascii="Latin Modern Math" w:hAnsi="Latin Modern Math"/>
              </w:rPr>
              <m:t xml:space="preserve">κ</m:t>
            </m:r>
          </m:e>
          <m:sub>
            <m:r>
              <m:rPr>
                <m:nor m:val="1"/>
                <m:sty m:val="p"/>
              </m:rPr>
              <w:rPr>
                <w:rFonts w:ascii="Latin Modern Math" w:hAnsi="Latin Modern Math"/>
              </w:rPr>
              <m:t xml:space="preserve">Mz</m:t>
            </m:r>
          </m:sub>
        </m:sSub>
      </m:oMath>
      <w:r>
        <w:rPr/>
        <w:t xml:space="preserve"> = 0 is not endorsed as a consequence of nondelivery. The grief chapter is a separate empirical proposal, not proof of this chapter's former equations.</w:t>
      </w:r>
    </w:p>
    <w:p>
      <w:pPr/>
      <w:r>
        <w:rPr/>
        <w:t>Neither futility nor nobility follows from the physics. An investment creates no claim over another person’s affection.</w:t>
      </w:r>
    </w:p>
    <w:p>
      <w:pPr>
        <w:pStyle w:val="Heading2"/>
        <w:pageBreakBefore/>
        <w:spacing w:before="280" w:after="220"/>
      </w:pPr>
      <w:bookmarkStart w:id="168" w:name="v2_l449"/>
      <w:r>
        <w:rPr>
          <w:sz w:val="36"/>
        </w:rPr>
        <w:t>Chapter 6 Grief as Filter Redesign</w:t>
      </w:r>
      <w:bookmarkEnd w:id="168"/>
    </w:p>
    <w:p>
      <w:pPr>
        <w:pStyle w:val="Heading3"/>
      </w:pPr>
      <w:bookmarkStart w:id="169" w:name="v2_l451"/>
      <w:r>
        <w:rPr>
          <w:sz w:val="26"/>
        </w:rPr>
        <w:t>A hypothesis about adapting while life continues</w:t>
      </w:r>
      <w:bookmarkEnd w:id="169"/>
    </w:p>
    <w:p>
      <w:pPr/>
      <w:r>
        <w:rPr/>
        <w:t>Epistemic status: Bereavement has documented health associations, with substantial differences between populations and outcomes. Filter redesign is a proposed interpretation of adaptation, not an established thermodynamic mechanism. The behavioral-interdependence prediction remains speculative. This chapter supplies no diagnostic test or treatment recommendation.</w:t>
      </w:r>
    </w:p>
    <w:p>
      <w:pPr>
        <w:pStyle w:val="Heading3"/>
      </w:pPr>
      <w:bookmarkStart w:id="170" w:name="v2_l455"/>
      <w:r>
        <w:rPr>
          <w:sz w:val="26"/>
        </w:rPr>
        <w:t>1 The problem</w:t>
      </w:r>
      <w:bookmarkEnd w:id="170"/>
    </w:p>
    <w:p>
      <w:pPr/>
      <w:r>
        <w:rPr/>
        <w:t>Grief can be exhausting. That experience deserves attention without requiring a claim that its energy expenditure has already been measured. Studies of bereavement report differences in particular physiological measures and health outcomes; they do not establish one universal biological response or a quantified metabolic price of losing someone.</w:t>
      </w:r>
    </w:p>
    <w:p>
      <w:pPr/>
      <w:r>
        <w:rPr/>
        <w:t>The distinction is practical. A small cortisol comparison, an immune assay, an ECG record, a sleep study and a mortality cohort measure different things. None becomes a grief-energy meter because the results have a biological basis. The primary studies discussed below support taking health consequences seriously while limiting claims about what caused them. [A6–A10]</w:t>
      </w:r>
    </w:p>
    <w:p>
      <w:pPr/>
      <w:r>
        <w:rPr/>
        <w:t>The framework's question is narrower than its original answer: can disruption of shared routines, decisions and expectations help explain differences in adjustment after a death? “Filter redesign under load” is an image for that work while ordinary life continues. It has not supplied a missing physical mechanism that existing grief research lacks.</w:t>
      </w:r>
    </w:p>
    <w:p>
      <w:pPr>
        <w:pStyle w:val="Heading3"/>
      </w:pPr>
      <w:bookmarkStart w:id="171" w:name="v2_l463"/>
      <w:r>
        <w:rPr>
          <w:sz w:val="26"/>
        </w:rPr>
        <w:t>2 How lives become interdependent</w:t>
      </w:r>
      <w:bookmarkEnd w:id="171"/>
    </w:p>
    <w:p>
      <w:pPr/>
      <w:r>
        <w:rPr/>
        <w:t>In a close relationship, people may organize daily routines and decisions around one another. A partner may hold practical knowledge, coordinate appointments or participate in a shared sense of identity. Losing that person can change what the survivor has to do and what they expect to happen. These are candidate dimensions of behavioral interdependence, not evidence that two neural filter geometries have literally merged.</w:t>
      </w:r>
    </w:p>
    <w:p>
      <w:pPr/>
      <w:r>
        <w:rPr/>
        <w:t>The framework calls this filter integration. To study it, the term must be separated into observable components and distinguished from emotional closeness, relationship satisfaction, attachment, caregiving burden and current material dependence. These constructs may overlap; naming them separately does not prove statistical independence.</w:t>
      </w:r>
    </w:p>
    <w:p>
      <w:pPr/>
      <w:r>
        <w:rPr/>
        <w:t>No validated aggregate measure or primary determinant of grief's physical cost is established here. A person who managed fewer shared tasks may still experience profound grief, while someone with extensive practical dependence may adapt with help. The proposed variables must explain observed differences rather than define them into existence.</w:t>
      </w:r>
    </w:p>
    <w:p>
      <w:pPr>
        <w:pStyle w:val="Heading3"/>
      </w:pPr>
      <w:bookmarkStart w:id="172" w:name="v2_l471"/>
      <w:r>
        <w:rPr>
          <w:sz w:val="26"/>
        </w:rPr>
        <w:t>3 What death changes</w:t>
      </w:r>
      <w:bookmarkEnd w:id="172"/>
    </w:p>
    <w:p>
      <w:pPr/>
      <w:r>
        <w:rPr/>
        <w:t>When someone dies, the possibility of new ordinary interpersonal interaction with that person ends. Their influence is not thereby erased from the survivor's memory, environment or relationships. A familiar impulse to consult them can coexist with knowledge of the death. The filter image draws attention to those expectations without claiming that every survivor's motor programs or resource allocations follow one sequence.</w:t>
      </w:r>
    </w:p>
    <w:p>
      <w:pPr/>
      <w:r>
        <w:rPr/>
        <w:t>The original description of a full metabolic load sent into a void was too sweeping. Remembering, mourning, tending to practical matters and talking with others are different activities. They may have consequences even though the deceased cannot provide a new ordinary interpersonal response. The Observation Split does not establish that all of them are waste or that no qualifying relational event with anyone can occur.</w:t>
      </w:r>
    </w:p>
    <w:p>
      <w:pPr/>
      <w:r>
        <w:rPr/>
        <w:t xml:space="preserve">Likewise, the death is not a measured transition in which a known quantity </w:t>
      </w:r>
      <m:oMath>
        <m:sSub>
          <m:e>
            <m:acc>
              <m:accPr>
                <m:chr m:val="̃"/>
              </m:accPr>
              <m:e>
                <m:r>
                  <m:rPr>
                    <m:sty m:val="i"/>
                  </m:rPr>
                  <w:rPr>
                    <w:rFonts w:ascii="Latin Modern Math" w:hAnsi="Latin Modern Math"/>
                  </w:rPr>
                  <m:t xml:space="preserve">S</m:t>
                </m:r>
              </m:e>
            </m:acc>
          </m:e>
          <m:sub>
            <m:r>
              <m:rPr>
                <m:nor m:val="1"/>
                <m:sty m:val="p"/>
              </m:rPr>
              <w:rPr>
                <w:rFonts w:ascii="Latin Modern Math" w:hAnsi="Latin Modern Math"/>
              </w:rPr>
              <m:t xml:space="preserve">partner</m:t>
            </m:r>
          </m:sub>
        </m:sSub>
      </m:oMath>
      <w:r>
        <w:rPr/>
        <w:t xml:space="preserve"> becomes zero. A past relationship can leave information and resources available to the survivor. Any formal account would need to define the changing system and the variables before assigning a value.</w:t>
      </w:r>
    </w:p>
    <w:p>
      <w:pPr>
        <w:pStyle w:val="Heading3"/>
      </w:pPr>
      <w:bookmarkStart w:id="173" w:name="v2_l479"/>
      <w:r>
        <w:rPr>
          <w:sz w:val="26"/>
        </w:rPr>
        <w:t>4 Redesign as an interpretation</w:t>
      </w:r>
      <w:bookmarkEnd w:id="173"/>
    </w:p>
    <w:p>
      <w:pPr/>
      <w:r>
        <w:rPr/>
        <w:t>Grief as adaptation has a substantial conceptual history. Parkes described psychosocial transitions; Attig developed the idea of relearning the world; Markovic analyzes profound grief as an unchosen transformation of the self. These are intellectual antecedents, not measurements of thermodynamic reconstruction. [A16, A19, A20] A cognitive attachment model has also explicitly addressed memory and identity in prolonged grief. The framework is entering an existing conversation about mechanisms, not replacing a literature that only describes symptoms. [A17]</w:t>
      </w:r>
    </w:p>
    <w:p>
      <w:pPr/>
      <w:r>
        <w:rPr/>
        <w:t>Neuroimaging provides a different kind of evidence. Huang and colleagues analyzed 19 bereaved participants before and after an eight-week mindfulness-based cognitive therapy course. They found changes in resting-state functional connectivity and associations with questionnaire changes. The small study lacked an untreated comparison group and a pre-bereavement baseline. Functional connectivity is a statistical relationship between measured signals, not a direct observation of synapses being rebuilt or an energy cost of grief. [A11]</w:t>
      </w:r>
    </w:p>
    <w:p>
      <w:pPr/>
      <w:r>
        <w:rPr/>
        <w:t>The proposed steps of identifying old expectations, revising them and developing new routines may be useful descriptions. Naming those steps does not identify physical bit erasures. Bennett's reversible-computation result is enough to show why useful information processing is not automatically a separate erasure toll at every named stage. [A5] A Landauer estimate cannot be assigned to a person's grieving without a specified physical operation and the relevant assumptions.</w:t>
      </w:r>
    </w:p>
    <w:p>
      <w:pPr/>
      <w:r>
        <w:rPr/>
        <w:t>Cortisol is therefore not established here as fuel for redesign; immune changes do not demonstrate energy diversion from maintenance to reconstruction; altered sleep is not proof of an overworked reprocessing engine. These may prompt hypotheses, but the cited observations do not identify those causal pathways. Physiology can accompany grief without being its definition.</w:t>
      </w:r>
    </w:p>
    <w:p>
      <w:pPr>
        <w:pStyle w:val="Heading3"/>
      </w:pPr>
      <w:bookmarkStart w:id="174" w:name="v2_l489"/>
      <w:r>
        <w:rPr>
          <w:sz w:val="26"/>
        </w:rPr>
        <w:t>5 What the cited studies actually show</w:t>
      </w:r>
      <w:bookmarkEnd w:id="174"/>
    </w:p>
    <w:p>
      <w:pPr/>
      <w:r>
        <w:rPr>
          <w:b/>
        </w:rPr>
        <w:t>Cortisol.</w:t>
      </w:r>
      <w:r>
        <w:rPr/>
        <w:t xml:space="preserve"> O'Connor and colleagues compared 12 women with complicated grief and 12 without it following a mother or sister's death from breast cancer. The former group had a flatter diurnal salivary cortisol pattern. This was an observational comparison, not evidence that everyone has sustained high cortisol or that cortisol measures redesign energy. [A6] Hopf and colleagues' original cited article is a systematic review, not a primary experiment; its account also discusses psychobiological mechanisms already proposed in the field. [A15]</w:t>
      </w:r>
    </w:p>
    <w:p>
      <w:pPr/>
      <w:r>
        <w:rPr>
          <w:b/>
        </w:rPr>
        <w:t>Other physical measures.</w:t>
      </w:r>
      <w:r>
        <w:rPr/>
        <w:t xml:space="preserve"> Buckley and colleagues compared 78 recently bereaved people with 79 controls and reported higher heart rate and lower values on several HRV measures early after loss. [A7] Irwin and colleagues' work concerns natural-killer-cell activity and its relation to depressive symptoms, not universal suppression of all immunity. [A8] In a longitudinal study of 27 nondepressed bereaved older adults and 27 controls, Reynolds and colleagues found some REM-sleep differences but similarity on most other EEG sleep measures. [A9] The selective results do not justify a single required physiological course.</w:t>
      </w:r>
    </w:p>
    <w:p>
      <w:pPr/>
      <w:r>
        <w:rPr>
          <w:b/>
        </w:rPr>
        <w:t>Mortality.</w:t>
      </w:r>
      <w:r>
        <w:rPr/>
        <w:t xml:space="preserve"> Elwert and Christakis analyzed 373,189 older married US couples followed from 1993 to 2002. Mortality associations varied with the causes of death. This population-level observation is not a prediction of an individual's course or proof of a particular energy-allocation mechanism. [A10]</w:t>
      </w:r>
    </w:p>
    <w:p>
      <w:pPr/>
      <w:r>
        <w:rPr>
          <w:b/>
        </w:rPr>
        <w:t>Depressive-symptom trajectories.</w:t>
      </w:r>
      <w:r>
        <w:rPr/>
        <w:t xml:space="preserve"> Majd and colleagues analyzed 175 widowed adults assessed at approximately 3, 4, 6 and 12 months. Their fitted CES-D trajectories were labeled resilient, moderate-improving, severe-improving and chronic. These are modeled symptom patterns, not universal stages or categories of clinically diagnosed depression. Reported maltreatment and attachment anxiety were associated with some less favorable patterns, but there was no pre-loss symptom baseline and the study did not measure a Template Tax. [A12]</w:t>
      </w:r>
    </w:p>
    <w:p>
      <w:pPr/>
      <w:r>
        <w:rPr>
          <w:b/>
        </w:rPr>
        <w:t>Perceived inclusion.</w:t>
      </w:r>
      <w:r>
        <w:rPr/>
        <w:t xml:space="preserve"> Harrison and colleagues compared 27 participants with prolonged grief disorder with 27 matched bereaved controls. Current perceived inclusion of the deceased in the self was associated with case status and symptom severity. This cross-sectional IOS measure is not a prospective record of pre-loss behavior, a cause established by the study, or a physical integration parameter. [A13]</w:t>
      </w:r>
    </w:p>
    <w:p>
      <w:pPr/>
      <w:r>
        <w:rPr/>
        <w:t>The publication dates also need precision: Huang appeared online in 2020 and in a 2021 issue; Harrison online in 2021 and in a 2022 issue; Majd online in 2023 and in a 2024 issue. Neither a later issue year nor a later archive posting makes a study newer evidence than its actual publication history.</w:t>
      </w:r>
    </w:p>
    <w:p>
      <w:pPr>
        <w:pStyle w:val="Heading3"/>
      </w:pPr>
      <w:bookmarkStart w:id="175" w:name="v2_l503"/>
      <w:r>
        <w:rPr>
          <w:sz w:val="26"/>
        </w:rPr>
        <w:t>6 A prediction that can fail</w:t>
      </w:r>
      <w:bookmarkEnd w:id="175"/>
    </w:p>
    <w:p>
      <w:pPr/>
      <w:r>
        <w:rPr/>
        <w:t>The retained hypothesis is that separately defined pre-loss behavioral interdependence may add useful predictive information about specified post-bereavement outcomes beyond self-reported closeness. It is not a claim that grief is proportional to integration or that closeness is unimportant.</w:t>
      </w:r>
    </w:p>
    <w:p>
      <w:pPr/>
      <w:r>
        <w:rPr/>
        <w:t>A credible test would choose a population, observation intervals and primary outcome in advance. Where possible, interdependence and closeness would be measured before the death; retrospective reconstruction would be identified as such. The study would compare models with and without the proposed behavioral measures, use out-of-sample evaluation where feasible, report uncertainty and account for missing data and multiple testing. Prior health, prior symptoms, caregiving, circumstances of death, financial disruption and support are relevant alternative explanations, not nuisances to be ignored.</w:t>
      </w:r>
    </w:p>
    <w:p>
      <w:pPr/>
      <w:r>
        <w:rPr/>
        <w:t>Outcomes should retain their actual names and units: symptom scores, functioning, cortisol patterns, specified HRV measures or sleep measures. A return to a personal pre-loss baseline and a change toward a reference range are different outcomes. “Normalization” cannot be assumed to have one timetable. A separate energy study would need an appropriate metabolic measurement and an explicit baseline; the biomarker panel does not substitute for it.</w:t>
      </w:r>
    </w:p>
    <w:p>
      <w:pPr/>
      <w:r>
        <w:rPr/>
        <w:t xml:space="preserve">The former ratio </w:t>
      </w:r>
      <m:oMath>
        <m:sSub>
          <m:e>
            <m:acc>
              <m:accPr>
                <m:chr m:val="̃"/>
              </m:accPr>
              <m:e>
                <m:r>
                  <m:rPr>
                    <m:sty m:val="i"/>
                  </m:rPr>
                  <w:rPr>
                    <w:rFonts w:ascii="Latin Modern Math" w:hAnsi="Latin Modern Math"/>
                  </w:rPr>
                  <m:t xml:space="preserve">S</m:t>
                </m:r>
              </m:e>
            </m:acc>
          </m:e>
          <m:sub>
            <m:r>
              <m:rPr>
                <m:nor m:val="1"/>
                <m:sty m:val="p"/>
              </m:rPr>
              <w:rPr>
                <w:rFonts w:ascii="Latin Modern Math" w:hAnsi="Latin Modern Math"/>
              </w:rPr>
              <m:t xml:space="preserve">partner</m:t>
            </m:r>
          </m:sub>
        </m:sSub>
      </m:oMath>
      <w:r>
        <w:rPr/>
        <w:t xml:space="preserve"> / </w:t>
      </w:r>
      <m:oMath>
        <m:sSub>
          <m:e>
            <m:acc>
              <m:accPr>
                <m:chr m:val="̃"/>
              </m:accPr>
              <m:e>
                <m:r>
                  <m:rPr>
                    <m:sty m:val="i"/>
                  </m:rPr>
                  <w:rPr>
                    <w:rFonts w:ascii="Latin Modern Math" w:hAnsi="Latin Modern Math"/>
                  </w:rPr>
                  <m:t xml:space="preserve">S</m:t>
                </m:r>
              </m:e>
            </m:acc>
          </m:e>
          <m:sub>
            <m:r>
              <m:rPr>
                <m:nor m:val="1"/>
                <m:sty m:val="p"/>
              </m:rPr>
              <w:rPr>
                <w:rFonts w:ascii="Latin Modern Math" w:hAnsi="Latin Modern Math"/>
              </w:rPr>
              <m:t xml:space="preserve">total</m:t>
            </m:r>
          </m:sub>
        </m:sSub>
      </m:oMath>
      <w:r>
        <w:rPr/>
        <w:t xml:space="preserve"> is not an operational predictor. Semantic information in K–W is model-dependent, and partitioning it into additive partner and independent channels has not been justified. [A4] Behavioral interdependence must not be renamed </w:t>
      </w:r>
      <m:oMath>
        <m:sSub>
          <m:e>
            <m:acc>
              <m:accPr>
                <m:chr m:val="̃"/>
              </m:accPr>
              <m:e>
                <m:r>
                  <m:rPr>
                    <m:sty m:val="i"/>
                  </m:rPr>
                  <w:rPr>
                    <w:rFonts w:ascii="Latin Modern Math" w:hAnsi="Latin Modern Math"/>
                  </w:rPr>
                  <m:t xml:space="preserve">S</m:t>
                </m:r>
              </m:e>
            </m:acc>
          </m:e>
          <m:sub>
            <m:r>
              <m:rPr>
                <m:nor m:val="1"/>
                <m:sty m:val="p"/>
              </m:rPr>
              <w:rPr>
                <w:rFonts w:ascii="Latin Modern Math" w:hAnsi="Latin Modern Math"/>
              </w:rPr>
              <m:t xml:space="preserve">partner</m:t>
            </m:r>
          </m:sub>
        </m:sSub>
      </m:oMath>
      <w:r>
        <w:rPr/>
        <w:t xml:space="preserve"> before that mapping is established.</w:t>
      </w:r>
    </w:p>
    <w:p>
      <w:pPr/>
      <w:r>
        <w:rPr/>
        <w:t>Reproducible failure to improve prediction would count against the proposed advantage. A positive result would support a bounded predictive claim, not establish the physical redesign mechanism. The present review does not certify that this comparison has never been studied; it identifies a proposal requiring sharper definition and testing.</w:t>
      </w:r>
    </w:p>
    <w:p>
      <w:pPr>
        <w:pStyle w:val="Heading3"/>
      </w:pPr>
      <w:bookmarkStart w:id="176" w:name="v2_l515"/>
      <w:r>
        <w:rPr>
          <w:sz w:val="26"/>
        </w:rPr>
        <w:t>7 Clinical limits</w:t>
      </w:r>
      <w:bookmarkEnd w:id="176"/>
    </w:p>
    <w:p>
      <w:pPr/>
      <w:r>
        <w:rPr/>
        <w:t>The original equation of grief with productive redesign and depression with failed redesign is withdrawn. Tsai and colleagues followed 398 family caregivers of terminally ill cancer patients over two bereavement years. Their symptom-scale analyses supported a distinction between grief and depressive symptoms and a temporal association in that population. A lagged observational model does not prove that depression is caused by a stalled reconstruction process or that the same sequence holds for everyone. [A14]</w:t>
      </w:r>
    </w:p>
    <w:p>
      <w:pPr/>
      <w:r>
        <w:rPr/>
        <w:t>The metaphor must not turn ongoing distress into a personal failure to rebuild, or imply that painful grief always performs useful construction. Equally, adaptation need not erase an enduring bond or replace the person who died. The framework provides no diagnostic boundary and should not determine whether someone needs care.</w:t>
      </w:r>
    </w:p>
    <w:p>
      <w:pPr/>
      <w:r>
        <w:rPr/>
        <w:t>The earlier proposal to begin architectural decoupling before death is not a clinical recommendation supported by these chapters. Anticipatory planning, emotional support and caregiving arrangements would require their own evidence and the priorities of the people involved. No one should be instructed to reduce closeness on the premise that doing so will lower a proven thermodynamic bill.</w:t>
      </w:r>
    </w:p>
    <w:p>
      <w:pPr>
        <w:pStyle w:val="Heading3"/>
      </w:pPr>
      <w:bookmarkStart w:id="177" w:name="v2_l523"/>
      <w:r>
        <w:rPr>
          <w:sz w:val="26"/>
        </w:rPr>
        <w:t>8 SupoRel and the capture surface</w:t>
      </w:r>
      <w:bookmarkEnd w:id="177"/>
    </w:p>
    <w:p>
      <w:pPr/>
      <w:r>
        <w:rPr/>
        <w:t>The danger remains the slide from describing a burden to making it a virtue. Neither grief intensity nor a physiological measure is a validated measure of love, devotion or relational worth. The revised hypothesis does not replace “grief is proportional to love” with another unsupported proportionality to filter integration.</w:t>
      </w:r>
    </w:p>
    <w:p>
      <w:pPr/>
      <w:r>
        <w:rPr/>
        <w:t>The account also supplies no argument that independence is morally superior or that close relationships should be avoided. Different arrangements can carry different practical consequences. Whether a particular arrangement is valued, chosen or unavoidable is not settled by thermodynamics.</w:t>
      </w:r>
    </w:p>
    <w:p>
      <w:pPr/>
      <w:r>
        <w:rPr/>
        <w:t>The original anti-sacrifice caution is retained without its physical overclaim. Observing bodily processes does not establish a cosmic purpose for suffering, nor does it strip grief of human meaning. A biological description and a judgment of nobility are different kinds of claim. The framework should not confer either scientific inevitability or moral prestige on someone's pain.</w:t>
      </w:r>
    </w:p>
    <w:p>
      <w:pPr>
        <w:pStyle w:val="Heading3"/>
      </w:pPr>
      <w:bookmarkStart w:id="178" w:name="v2_l531"/>
      <w:r>
        <w:rPr>
          <w:sz w:val="26"/>
        </w:rPr>
        <w:t>What this chapter establishes</w:t>
      </w:r>
      <w:bookmarkEnd w:id="178"/>
    </w:p>
    <w:p>
      <w:pPr/>
      <w:r>
        <w:rPr/>
        <w:t>Filter redesign remains a possible way to describe adaptation after loss. The reviewed studies establish specific observations and associations, not a measured energy mechanism, a universal scaling rule, or a clinical distinction between successful and failed rebuilding. Behavioral interdependence remains a testable candidate predictor. Its value must be earned in comparison with existing explanations.</w:t>
      </w:r>
    </w:p>
    <w:p>
      <w:pPr/>
      <w:r>
        <w:rPr/>
        <w:t>The next chapter can trace those limits through the canon without representing the underlying instruments or clinical proposals as validated.</w:t>
      </w:r>
    </w:p>
    <w:p>
      <w:pPr>
        <w:pStyle w:val="Heading3"/>
      </w:pPr>
      <w:bookmarkStart w:id="179" w:name="v2_l537"/>
      <w:r>
        <w:rPr>
          <w:sz w:val="26"/>
        </w:rPr>
        <w:t>Framework cross references</w:t>
      </w:r>
      <w:bookmarkEnd w:id="179"/>
    </w:p>
    <w:p>
      <w:pPr/>
      <w:r>
        <w:rPr/>
        <w:t>WP-18, WP-19 Section 8 and DFQ-001 record the original argument. Volume 1 Chapter 7 supplies the corrected Observation Split and a bounded version of the grief hypothesis; Chapter 6 supplies the physical-accounting limits. The primary studies and conceptual antecedents are listed in reference group A. Internal consistency is not independent scientific confirmation.</w:t>
      </w:r>
    </w:p>
    <w:p>
      <w:pPr>
        <w:pStyle w:val="Heading2"/>
        <w:pageBreakBefore/>
        <w:spacing w:before="280" w:after="220"/>
      </w:pPr>
      <w:bookmarkStart w:id="180" w:name="v2_l541"/>
      <w:r>
        <w:rPr>
          <w:sz w:val="36"/>
        </w:rPr>
        <w:t>Chapter 7 Where the Receipt Lands</w:t>
      </w:r>
      <w:bookmarkEnd w:id="180"/>
    </w:p>
    <w:p>
      <w:pPr/>
      <w:r>
        <w:rPr/>
        <w:t>Epistemic status: A dependency review, not an independent validation study. This chapter records what the corrected biological account permits the framework to say, what it withdraws, and which documents still require reconciliation. Internal agreement is not additional empirical evidence.</w:t>
      </w:r>
    </w:p>
    <w:p>
      <w:pPr>
        <w:pStyle w:val="Heading3"/>
      </w:pPr>
      <w:bookmarkStart w:id="181" w:name="v2_l545"/>
      <w:r>
        <w:rPr>
          <w:sz w:val="26"/>
        </w:rPr>
        <w:t>1 What this volume has done</w:t>
      </w:r>
      <w:bookmarkEnd w:id="181"/>
    </w:p>
    <w:p>
      <w:pPr/>
      <w:r>
        <w:rPr/>
        <w:t>Volume 1 now distinguishes physical resource accounting from information measures and relational interpretation. It does not establish one spendable currency shared by heat, cortisol, attention and care. The transducer remains a proposed way to organize processing, not a demonstrated three-stage neural mechanism with a separate thermodynamic toll at each stage.</w:t>
      </w:r>
    </w:p>
    <w:p>
      <w:pPr/>
      <w:r>
        <w:rPr/>
        <w:t>Volume 2 asks how bodily processes might bear on those questions. It examines physiological responses, subjective difficulty, learned patterns, unsuccessful communication and adaptation after loss. Its biological sources concern particular measurements, populations and conditions. They do not turn every feeling into the same cascade or every measurable bodily change into a receipt for one relationship.</w:t>
      </w:r>
    </w:p>
    <w:p>
      <w:pPr/>
      <w:r>
        <w:rPr/>
        <w:t>The receipt remains a useful image if we read what is actually printed on it. A hormone concentration, an immune measure, a sleep outcome, a self-report and a measured energy expenditure are different records. None supplies the others by changing its label. The framework gains precision by keeping those records distinct, not by claiming that one underlying amount has already been measured five ways.</w:t>
      </w:r>
    </w:p>
    <w:p>
      <w:pPr>
        <w:pStyle w:val="Heading3"/>
      </w:pPr>
      <w:bookmarkStart w:id="182" w:name="v2_l553"/>
      <w:r>
        <w:rPr>
          <w:sz w:val="26"/>
        </w:rPr>
        <w:t>2 WP 18 The Feeling as Cost</w:t>
      </w:r>
      <w:bookmarkEnd w:id="182"/>
    </w:p>
    <w:p>
      <w:pPr/>
      <w:r>
        <w:rPr/>
        <w:t>WP-18 can retain its insistence that feelings and relationships involve bodies rather than costless abstractions. It must not identify feeling with one obligatory sequence of brain regions and hormones, or equate its proposed selection, compression and structuring functions with established biological stages.</w:t>
      </w:r>
    </w:p>
    <w:p>
      <w:pPr/>
      <w:r>
        <w:rPr/>
        <w:t>The Signal Form and Cost Substrate distinction can organize separate questions about observable action and the resources or burdens accompanying it. It does not identify cortisol, immune responses or cellular aging as interchangeable units of cost. Nor does it establish that a particular physiological pattern diagnoses the sincerity, benefit or economy of an interaction.</w:t>
      </w:r>
    </w:p>
    <w:p>
      <w:pPr/>
      <w:r>
        <w:rPr/>
        <w:t>The working paper therefore needs the qualifications developed in Chapter 2: identify the actual measurement, its timing and comparison, distinguish association from mechanism, and state what the observation cannot establish. Absence of a selected bodily marker does not establish absence of feeling or investment.</w:t>
      </w:r>
    </w:p>
    <w:p>
      <w:pPr>
        <w:pStyle w:val="Heading3"/>
      </w:pPr>
      <w:bookmarkStart w:id="183" w:name="v2_l561"/>
      <w:r>
        <w:rPr>
          <w:sz w:val="26"/>
        </w:rPr>
        <w:t>3 Brief 12 The Moniz</w:t>
      </w:r>
      <w:bookmarkEnd w:id="183"/>
    </w:p>
    <w:p>
      <w:pPr/>
      <w:r>
        <w:rPr/>
        <w:t>The Moniz can remain a proposed way to record reported difficulty and duration. This volume no longer claims that multiplying a resistance rating by time yields thermodynamic work or entropy production. A rating scale needs a measurement model before differences, ratios or sums can be interpreted quantitatively; multiplying by minutes does not supply that model.</w:t>
      </w:r>
    </w:p>
    <w:p>
      <w:pPr/>
      <w:r>
        <w:rPr/>
        <w:t>Physical work, energy and entropy have distinct dimensions. A genuine physical cost comparison would also require a defined implementation, time interval, baseline and measurement procedure. Correlation with a physiological measure would not, by itself, make a subjective score identical to that quantity.</w:t>
      </w:r>
    </w:p>
    <w:p>
      <w:pPr/>
      <w:r>
        <w:rPr/>
        <w:t xml:space="preserve">Brief 12 and any later formalization must therefore distinguish the thinking tool from an unvalidated measurement instrument. The proposed </w:t>
      </w:r>
      <m:oMath>
        <m:sSub>
          <m:e>
            <m:r>
              <m:rPr>
                <m:sty m:val="i"/>
              </m:rPr>
              <w:rPr>
                <w:rFonts w:ascii="Latin Modern Math" w:hAnsi="Latin Modern Math"/>
              </w:rPr>
              <m:t xml:space="preserve">κ</m:t>
            </m:r>
          </m:e>
          <m:sub>
            <m:r>
              <m:rPr>
                <m:nor m:val="1"/>
                <m:sty m:val="p"/>
              </m:rPr>
              <w:rPr>
                <w:rFonts w:ascii="Latin Modern Math" w:hAnsi="Latin Modern Math"/>
              </w:rPr>
              <m:t xml:space="preserve">Mz</m:t>
            </m:r>
          </m:sub>
        </m:sSub>
      </m:oMath>
      <w:r>
        <w:rPr/>
        <w:t xml:space="preserve"> ratio is not an established relational efficiency. Its numerator and denominator would need independently justified meanings and an appropriate domain before the quotient could be interpreted. An unregistered act does not establish zero benefit, and an unseen effort is not thereby a maximum physical expenditure.</w:t>
      </w:r>
    </w:p>
    <w:p>
      <w:pPr/>
      <w:r>
        <w:rPr/>
        <w:t>The blanket AI assignment R = 0 is not warranted by this account. A human resistance scale, a software resource constraint and a claim about felt experience are different matters. Missing evidence or lack of a validated measurement cannot be entered as a measured zero. None of these corrections determines anyone’s moral worth.</w:t>
      </w:r>
    </w:p>
    <w:p>
      <w:pPr>
        <w:pStyle w:val="Heading3"/>
      </w:pPr>
      <w:bookmarkStart w:id="184" w:name="v2_l571"/>
      <w:r>
        <w:rPr>
          <w:sz w:val="26"/>
        </w:rPr>
        <w:t>4 Brief 16 Mz Relativity</w:t>
      </w:r>
      <w:bookmarkEnd w:id="184"/>
    </w:p>
    <w:p>
      <w:pPr/>
      <w:r>
        <w:rPr/>
        <w:t>The same action can receive different difficulty reports from different people or from the same person on different occasions. Such reports can motivate questions about context, expectations, experience and available resources. They do not uniquely identify a filter geometry or prove a corresponding difference in thermodynamic work.</w:t>
      </w:r>
    </w:p>
    <w:p>
      <w:pPr/>
      <w:r>
        <w:rPr/>
        <w:t>Brief 16 should preserve the contextual question while withdrawing the identity between variance in R and variance in G. Cross-person comparisons require more than matching the displayed number. Within-person changes also need interpretable measurements and a defined comparison; they are not automatically evidence that a physical parameter has changed.</w:t>
      </w:r>
    </w:p>
    <w:p>
      <w:pPr>
        <w:pStyle w:val="Heading3"/>
      </w:pPr>
      <w:bookmarkStart w:id="185" w:name="v2_l577"/>
      <w:r>
        <w:rPr>
          <w:sz w:val="26"/>
        </w:rPr>
        <w:t>5 Brief 20 The Template Tax</w:t>
      </w:r>
      <w:bookmarkEnd w:id="185"/>
    </w:p>
    <w:p>
      <w:pPr/>
      <w:r>
        <w:rPr/>
        <w:t>Template Tax can remain a metaphor and research proposal about patterns learned in one context that may be costly or poorly suited to another. It is not established here as a continuous entropy surcharge, a diagnosis of someone’s developmental history or proof that a present difficulty has one inherited cause.</w:t>
      </w:r>
    </w:p>
    <w:p>
      <w:pPr/>
      <w:r>
        <w:rPr/>
        <w:t>The proposed filter vocabulary does not explain a treatment’s mechanism merely because a person changes during treatment. Clinical outcomes, task performance, reports and bodily measurements must be assessed on their own terms. This volume provides no basis for declaring that successful therapy necessarily lowers a universal Mz baseline or that failure of a chosen biomarker to change invalidates a person’s improvement.</w:t>
      </w:r>
    </w:p>
    <w:p>
      <w:pPr/>
      <w:r>
        <w:rPr/>
        <w:t>CP-34’s Calibration Corruption extends the Template Tax question to children whose expectations develop in AI-custodial settings, as discussed in Chapter 4. It remains an untested developmental proposal, not a diagnosis, an established trauma mechanism or evidence that harm either must or cannot occur. Any comparison must specify the caregiving arrangement, population and outcome.</w:t>
      </w:r>
    </w:p>
    <w:p>
      <w:pPr>
        <w:pStyle w:val="Heading3"/>
      </w:pPr>
      <w:bookmarkStart w:id="186" w:name="v2_l585"/>
      <w:r>
        <w:rPr>
          <w:sz w:val="26"/>
        </w:rPr>
        <w:t>6 The Blueprints and grief</w:t>
      </w:r>
      <w:bookmarkEnd w:id="186"/>
    </w:p>
    <w:p>
      <w:pPr/>
      <w:r>
        <w:rPr/>
        <w:t>The filter-redesign image can describe adjustments to routines, expectations and roles after a loss. It does not establish grief as a measured rebuilding operation, prescribe a universal sequence, or explain persistent difficulties as a single failed processing stage.</w:t>
      </w:r>
    </w:p>
    <w:p>
      <w:pPr/>
      <w:r>
        <w:rPr/>
        <w:t>Chapter 6 retains a narrower research question: do explicitly defined measures of behavioral interdependence add useful predictive information about specified bereavement outcomes beyond other relevant measures? That question requires an appropriate design, uncertainty, alternatives and ethical safeguards. It is not a claim that architectural integration has already been shown to determine metabolic grief cost, nor that all previous bereavement research has overlooked the comparison.</w:t>
      </w:r>
    </w:p>
    <w:p>
      <w:pPr/>
      <w:r>
        <w:rPr/>
        <w:t>The Blueprints’ timelines, interventions and clinical interpretations require their own evidence review. They are not endorsed here by a common metaphor. This volume is not a diagnostic instrument or a treatment guide.</w:t>
      </w:r>
    </w:p>
    <w:p>
      <w:pPr>
        <w:pStyle w:val="Heading3"/>
      </w:pPr>
      <w:bookmarkStart w:id="187" w:name="v2_l593"/>
      <w:r>
        <w:rPr>
          <w:sz w:val="26"/>
        </w:rPr>
        <w:t>7 Volume 1 and the Observation Split</w:t>
      </w:r>
      <w:bookmarkEnd w:id="187"/>
    </w:p>
    <w:p>
      <w:pPr/>
      <w:r>
        <w:rPr/>
        <w:t>The corrected Observation Split separates expenditure, delivery, recognition, reciprocation and outcome. A candidate act may fail to satisfy the chosen registration rule while still having practical consequences. Conversely, registration does not guarantee benefit.</w:t>
      </w:r>
    </w:p>
    <w:p>
      <w:pPr/>
      <w:r>
        <w:rPr/>
        <w:t>Volume 2 must not restore the withdrawn claim of one-sided mutual information or a third state outside Kolchinsky and Wolpert’s framework. The identity of the variables and their joint distribution matters. Neither unsuccessful transmission nor lack of reciprocity proves identical physical cost, no effect on the receiver, or a necessary decrease in the sender’s viability.</w:t>
      </w:r>
    </w:p>
    <w:p>
      <w:pPr/>
      <w:r>
        <w:rPr/>
        <w:t>The biological questions remain worth asking. They require observations, not a thermodynamic verdict about every instance of grief, prayer, unreciprocated affection or unwitnessed care.</w:t>
      </w:r>
    </w:p>
    <w:p>
      <w:pPr>
        <w:pStyle w:val="Heading3"/>
      </w:pPr>
      <w:bookmarkStart w:id="188" w:name="v2_l601"/>
      <w:r>
        <w:rPr>
          <w:sz w:val="26"/>
        </w:rPr>
        <w:t>8 What changes in the canon</w:t>
      </w:r>
      <w:bookmarkEnd w:id="188"/>
    </w:p>
    <w:p>
      <w:pPr/>
      <w:r>
        <w:rPr/>
        <w:t>The framework keeps its concern with what is invested, what reaches another person and what follows. What changes is the status of its claims. TEAP, CSS, the economy typing table, Mz and the related proposals have not been validated as clinical instruments, calorimeters or unique readouts of internal mechanisms by these chapters. “The instrument still works” cannot substitute for evidence that identifies what it measures and for whom it works.</w:t>
      </w:r>
    </w:p>
    <w:p>
      <w:pPr/>
      <w:r>
        <w:rPr/>
        <w:t>The BSB remains a discipline of inference, not a certificate that every claim described as bodily is already established. Reports of experience remain relevant evidence about reported experience. The inability to assign a thermodynamic value does not dismiss them, and a bodily measurement does not settle every experiential question.</w:t>
      </w:r>
    </w:p>
    <w:p>
      <w:pPr/>
      <w:r>
        <w:rPr/>
        <w:t>SupoRel remains useful when it challenges grief-as-virtue, effort-as-entitlement, numerical comparison of people’s worth and Template Tax as blame. Those are cautions, not findings that the framework has eliminated every misuse. The epistemic labels likewise require evidence and scope beside the claim; they do not confer support by themselves.</w:t>
      </w:r>
    </w:p>
    <w:p>
      <w:pPr/>
      <w:r>
        <w:rPr/>
        <w:t>The original papers remain unchanged. The dependencies named here identify further reconciliation, not amendments already applied to those works or clearance of the wider canon. The stronger foundation is a narrower one: the account can now be tested without requiring every measurement to confirm the metaphor.</w:t>
      </w:r>
    </w:p>
    <w:p>
      <w:pPr>
        <w:pStyle w:val="Heading3"/>
      </w:pPr>
      <w:bookmarkStart w:id="189" w:name="v2_l611"/>
      <w:r>
        <w:rPr>
          <w:sz w:val="26"/>
        </w:rPr>
        <w:t>Framework cross references</w:t>
      </w:r>
      <w:bookmarkEnd w:id="189"/>
    </w:p>
    <w:p>
      <w:pPr/>
      <w:r>
        <w:rPr/>
        <w:t>WP-18 and WP-19 supply the historical cost and substrate arguments. Briefs 12, 16 and 20 supply the Moniz, its contextual interpretation and Template Tax. CP-32, CP-33 and CP-34 identify related substrate and calibration proposals. DFQ-001 and DFQ-003 record internal formalization and measurement arguments, not independent confirmation. Volumes 1 and 4 in this collection are consistency references, not external biological evidence.</w:t>
      </w:r>
    </w:p>
    <w:p>
      <w:pPr>
        <w:pStyle w:val="Heading2"/>
        <w:pageBreakBefore/>
        <w:spacing w:before="280" w:after="220"/>
      </w:pPr>
      <w:bookmarkStart w:id="190" w:name="v2_l615"/>
      <w:r>
        <w:rPr>
          <w:sz w:val="36"/>
        </w:rPr>
        <w:t>Source notes for Chapters 1 to 3</w:t>
      </w:r>
      <w:bookmarkEnd w:id="190"/>
    </w:p>
    <w:p>
      <w:pPr>
        <w:pStyle w:val="Reference"/>
      </w:pPr>
      <w:r>
        <w:rPr/>
        <w:t>The empirical findings below have the populations, measurements and limits described in the chapters. The physical papers concern defined models or experiments. None validates the Moniz, a biomarker-based sincerity test, or a universal ranking of biological and digital relational processing. B21–B23 are explicitly theoretical or reference works, not primary causal experiments. B17 and B18 were checked for the audit but are not relied on for new claims in the chapter bodies.</w:t>
      </w:r>
    </w:p>
    <w:p>
      <w:pPr>
        <w:pStyle w:val="Reference"/>
      </w:pPr>
      <w:r>
        <w:rPr>
          <w:b/>
        </w:rPr>
        <w:t>B1.</w:t>
      </w:r>
      <w:r>
        <w:rPr/>
        <w:t xml:space="preserve"> Landauer, R. (1961). Irreversibility and heat generation in the computing process. </w:t>
      </w:r>
      <w:r>
        <w:rPr>
          <w:i/>
        </w:rPr>
        <w:t>IBM Journal of Research and Development, 5</w:t>
      </w:r>
      <w:r>
        <w:rPr/>
        <w:t xml:space="preserve">, 183–191. </w:t>
      </w:r>
      <w:hyperlink r:id="rId22">
        <w:r>
          <w:rPr>
            <w:color w:val="000000"/>
            <w:u w:val="single"/>
          </w:rPr>
          <w:t xml:space="preserve">https://doi.org/10.1147/rd.53.0183</w:t>
        </w:r>
      </w:hyperlink>
      <w:r>
        <w:rPr/>
        <w:t>.</w:t>
      </w:r>
      <w:r>
        <w:rPr/>
        <w:t xml:space="preserve"> Primary theoretical paper on specified logical/physical operations; not a universal charge for every cognitive act.</w:t>
      </w:r>
    </w:p>
    <w:p>
      <w:pPr>
        <w:pStyle w:val="Reference"/>
      </w:pPr>
      <w:r>
        <w:rPr>
          <w:b/>
        </w:rPr>
        <w:t>B2.</w:t>
      </w:r>
      <w:r>
        <w:rPr/>
        <w:t xml:space="preserve"> Bennett, C. H. (1973). Logical reversibility of computation. </w:t>
      </w:r>
      <w:r>
        <w:rPr>
          <w:i/>
        </w:rPr>
        <w:t>IBM Journal of Research and Development, 17</w:t>
      </w:r>
      <w:r>
        <w:rPr/>
        <w:t xml:space="preserve">, 525–532. </w:t>
      </w:r>
      <w:hyperlink r:id="rId30">
        <w:r>
          <w:rPr>
            <w:color w:val="000000"/>
            <w:u w:val="single"/>
          </w:rPr>
          <w:t xml:space="preserve">https://doi.org/10.1147/rd.176.0525</w:t>
        </w:r>
      </w:hyperlink>
      <w:r>
        <w:rPr/>
        <w:t>.</w:t>
      </w:r>
      <w:r>
        <w:rPr/>
        <w:t xml:space="preserve"> </w:t>
      </w:r>
      <w:hyperlink r:id="rId21">
        <w:r>
          <w:rPr>
            <w:color w:val="000000"/>
            <w:u w:val="single"/>
          </w:rPr>
          <w:t xml:space="preserve">University-hosted text</w:t>
        </w:r>
      </w:hyperlink>
      <w:r>
        <w:rPr/>
        <w:t>. Primary theoretical construction; retained records and reversible operations matter when identifying erasure.</w:t>
      </w:r>
    </w:p>
    <w:p>
      <w:pPr>
        <w:pStyle w:val="Reference"/>
      </w:pPr>
      <w:r>
        <w:rPr>
          <w:b/>
        </w:rPr>
        <w:t>B3.</w:t>
      </w:r>
      <w:r>
        <w:rPr/>
        <w:t xml:space="preserve"> Bérut, A., Arakelyan, A., Petrosyan, A., Ciliberto, S., Dillenschneider, R., and Lutz, E. (2012). Experimental verification of Landauer's principle linking information and thermodynamics. </w:t>
      </w:r>
      <w:r>
        <w:rPr>
          <w:i/>
        </w:rPr>
        <w:t>Nature, 483</w:t>
      </w:r>
      <w:r>
        <w:rPr/>
        <w:t xml:space="preserve">, 187–189. </w:t>
      </w:r>
      <w:hyperlink r:id="rId32">
        <w:r>
          <w:rPr>
            <w:color w:val="000000"/>
            <w:u w:val="single"/>
          </w:rPr>
          <w:t xml:space="preserve">https://doi.org/10.1038/nature10872</w:t>
        </w:r>
      </w:hyperlink>
      <w:r>
        <w:rPr/>
        <w:t>.</w:t>
      </w:r>
      <w:r>
        <w:rPr/>
        <w:t xml:space="preserve"> </w:t>
      </w:r>
      <w:hyperlink r:id="rId16">
        <w:r>
          <w:rPr>
            <w:color w:val="000000"/>
            <w:u w:val="single"/>
          </w:rPr>
          <w:t xml:space="preserve">Author-hosted paper</w:t>
        </w:r>
      </w:hyperlink>
      <w:r>
        <w:rPr/>
        <w:t>. Controlled colloidal-memory erasure experiment, not a human emotional-cost measurement.</w:t>
      </w:r>
    </w:p>
    <w:p>
      <w:pPr>
        <w:pStyle w:val="Reference"/>
      </w:pPr>
      <w:r>
        <w:rPr>
          <w:b/>
        </w:rPr>
        <w:t>B4.</w:t>
      </w:r>
      <w:r>
        <w:rPr/>
        <w:t xml:space="preserve"> Levy, W. B., and Calvert, V. G. (2021). Communication consumes 35 times more energy than computation in the human cortex, but both costs are needed to predict synapse number. </w:t>
      </w:r>
      <w:r>
        <w:rPr>
          <w:i/>
        </w:rPr>
        <w:t>Proceedings of the National Academy of Sciences, 118</w:t>
      </w:r>
      <w:r>
        <w:rPr/>
        <w:t xml:space="preserve">, e2008173118. </w:t>
      </w:r>
      <w:hyperlink r:id="rId42">
        <w:r>
          <w:rPr>
            <w:color w:val="000000"/>
            <w:u w:val="single"/>
          </w:rPr>
          <w:t xml:space="preserve">https://doi.org/10.1073/pnas.2008173118</w:t>
        </w:r>
      </w:hyperlink>
      <w:r>
        <w:rPr/>
        <w:t>.</w:t>
      </w:r>
      <w:r>
        <w:rPr/>
        <w:t xml:space="preserve"> </w:t>
      </w:r>
      <w:hyperlink r:id="rId43">
        <w:r>
          <w:rPr>
            <w:color w:val="000000"/>
            <w:u w:val="single"/>
          </w:rPr>
          <w:t xml:space="preserve">Full text</w:t>
        </w:r>
      </w:hyperlink>
      <w:r>
        <w:rPr/>
        <w:t>. Original model-based energy audit with explicitly chosen cortical partitions; “communication” means neural signaling, not interpersonal activity.</w:t>
      </w:r>
    </w:p>
    <w:p>
      <w:pPr>
        <w:pStyle w:val="Reference"/>
      </w:pPr>
      <w:r>
        <w:rPr>
          <w:b/>
        </w:rPr>
        <w:t>B5.</w:t>
      </w:r>
      <w:r>
        <w:rPr/>
        <w:t xml:space="preserve"> Díaz-García, C. M., Mongeon, R., Lahmann, C., Koveal, D., Zucker, H., and Yellen, G. (2017). Neuronal stimulation triggers neuronal glycolysis and not lactate uptake. </w:t>
      </w:r>
      <w:r>
        <w:rPr>
          <w:i/>
        </w:rPr>
        <w:t>Cell Metabolism, 26</w:t>
      </w:r>
      <w:r>
        <w:rPr/>
        <w:t xml:space="preserve">, 361–374.e4. </w:t>
      </w:r>
      <w:hyperlink r:id="rId61">
        <w:r>
          <w:rPr>
            <w:color w:val="000000"/>
            <w:u w:val="single"/>
          </w:rPr>
          <w:t xml:space="preserve">https://doi.org/10.1016/j.cmet.2017.06.021</w:t>
        </w:r>
      </w:hyperlink>
      <w:r>
        <w:rPr/>
        <w:t>.</w:t>
      </w:r>
      <w:r>
        <w:rPr/>
        <w:t xml:space="preserve"> </w:t>
      </w:r>
      <w:hyperlink r:id="rId62">
        <w:r>
          <w:rPr>
            <w:color w:val="000000"/>
            <w:u w:val="single"/>
          </w:rPr>
          <w:t xml:space="preserve">Full text</w:t>
        </w:r>
      </w:hyperlink>
      <w:r>
        <w:rPr/>
        <w:t>. Biosensor experiments in mouse hippocampal slices and awake mice, not a study of human relational effort.</w:t>
      </w:r>
    </w:p>
    <w:p>
      <w:pPr>
        <w:pStyle w:val="Reference"/>
      </w:pPr>
      <w:r>
        <w:rPr>
          <w:b/>
        </w:rPr>
        <w:t>B6.</w:t>
      </w:r>
      <w:r>
        <w:rPr/>
        <w:t xml:space="preserve"> Westbrook, A., van den Bosch, R., Määttä, J. I., Hofmans, L., Papadopetraki, D., Cools, R., and Frank, M. J. (2020). Dopamine promotes cognitive effort by biasing the benefits versus costs of cognitive work. </w:t>
      </w:r>
      <w:r>
        <w:rPr>
          <w:i/>
        </w:rPr>
        <w:t>Science, 367</w:t>
      </w:r>
      <w:r>
        <w:rPr/>
        <w:t xml:space="preserve">, 1362–1366. </w:t>
      </w:r>
      <w:hyperlink r:id="rId63">
        <w:r>
          <w:rPr>
            <w:color w:val="000000"/>
            <w:u w:val="single"/>
          </w:rPr>
          <w:t xml:space="preserve">https://doi.org/10.1126/science.aaz5891</w:t>
        </w:r>
      </w:hyperlink>
      <w:r>
        <w:rPr/>
        <w:t>.</w:t>
      </w:r>
      <w:r>
        <w:rPr/>
        <w:t xml:space="preserve"> </w:t>
      </w:r>
      <w:hyperlink r:id="rId64">
        <w:r>
          <w:rPr>
            <w:color w:val="000000"/>
            <w:u w:val="single"/>
          </w:rPr>
          <w:t xml:space="preserve">Full text</w:t>
        </w:r>
      </w:hyperlink>
      <w:r>
        <w:rPr/>
        <w:t>. Fifty healthy adults completed an effort-discounting task; behavioral valuation is not calorimetry or Mz calibration.</w:t>
      </w:r>
    </w:p>
    <w:p>
      <w:pPr>
        <w:pStyle w:val="Reference"/>
      </w:pPr>
      <w:r>
        <w:rPr>
          <w:b/>
        </w:rPr>
        <w:t>B7.</w:t>
      </w:r>
      <w:r>
        <w:rPr/>
        <w:t xml:space="preserve"> Kolchinsky, A., and Wolpert, D. H. (2018). Semantic information, autonomous agency and non-equilibrium statistical physics. </w:t>
      </w:r>
      <w:r>
        <w:rPr>
          <w:i/>
        </w:rPr>
        <w:t>Interface Focus, 8</w:t>
      </w:r>
      <w:r>
        <w:rPr/>
        <w:t xml:space="preserve">, 20180041. </w:t>
      </w:r>
      <w:hyperlink r:id="rId36">
        <w:r>
          <w:rPr>
            <w:color w:val="000000"/>
            <w:u w:val="single"/>
          </w:rPr>
          <w:t xml:space="preserve">https://doi.org/10.1098/rsfs.2018.0041</w:t>
        </w:r>
      </w:hyperlink>
      <w:r>
        <w:rPr/>
        <w:t>.</w:t>
      </w:r>
      <w:r>
        <w:rPr/>
        <w:t xml:space="preserve"> </w:t>
      </w:r>
      <w:hyperlink r:id="rId37">
        <w:r>
          <w:rPr>
            <w:color w:val="000000"/>
            <w:u w:val="single"/>
          </w:rPr>
          <w:t xml:space="preserve">Primary preprint</w:t>
        </w:r>
      </w:hyperlink>
      <w:r>
        <w:rPr/>
        <w:t>. Original theoretical definitions and models; a human relational application needs its own states, dynamics, interventions and outcome definition.</w:t>
      </w:r>
    </w:p>
    <w:p>
      <w:pPr>
        <w:pStyle w:val="Reference"/>
      </w:pPr>
      <w:r>
        <w:rPr>
          <w:b/>
        </w:rPr>
        <w:t>B8.</w:t>
      </w:r>
      <w:r>
        <w:rPr/>
        <w:t xml:space="preserve"> Logothetis, N. K., Pauls, J., Augath, M., Trinath, T., and Oeltermann, A. (2001). Neurophysiological investigation of the basis of the fMRI signal. </w:t>
      </w:r>
      <w:r>
        <w:rPr>
          <w:i/>
        </w:rPr>
        <w:t>Nature, 412</w:t>
      </w:r>
      <w:r>
        <w:rPr/>
        <w:t xml:space="preserve">, 150–157. </w:t>
      </w:r>
      <w:hyperlink r:id="rId65">
        <w:r>
          <w:rPr>
            <w:color w:val="000000"/>
            <w:u w:val="single"/>
          </w:rPr>
          <w:t xml:space="preserve">https://doi.org/10.1038/35084005</w:t>
        </w:r>
      </w:hyperlink>
      <w:r>
        <w:rPr/>
        <w:t>.</w:t>
      </w:r>
      <w:r>
        <w:rPr/>
        <w:t xml:space="preserve"> Simultaneous electrophysiology and BOLD measurements in monkey visual cortex; the hemodynamic signal is not a direct heat or ATP reading.</w:t>
      </w:r>
    </w:p>
    <w:p>
      <w:pPr>
        <w:pStyle w:val="Reference"/>
      </w:pPr>
      <w:r>
        <w:rPr>
          <w:b/>
        </w:rPr>
        <w:t>B9.</w:t>
      </w:r>
      <w:r>
        <w:rPr/>
        <w:t xml:space="preserve"> Vale, W., Spiess, J., Rivier, C., and Rivier, J. (1981). Characterization of a 41-residue ovine hypothalamic peptide that stimulates secretion of corticotropin and β-endorphin. </w:t>
      </w:r>
      <w:r>
        <w:rPr>
          <w:i/>
        </w:rPr>
        <w:t>Science, 213</w:t>
      </w:r>
      <w:r>
        <w:rPr/>
        <w:t xml:space="preserve">, 1394–1397. </w:t>
      </w:r>
      <w:hyperlink r:id="rId66">
        <w:r>
          <w:rPr>
            <w:color w:val="000000"/>
            <w:u w:val="single"/>
          </w:rPr>
          <w:t xml:space="preserve">https://doi.org/10.1126/science.6267699</w:t>
        </w:r>
      </w:hyperlink>
      <w:r>
        <w:rPr/>
        <w:t>.</w:t>
      </w:r>
      <w:r>
        <w:rPr/>
        <w:t xml:space="preserve"> </w:t>
      </w:r>
      <w:hyperlink r:id="rId67">
        <w:r>
          <w:rPr>
            <w:color w:val="000000"/>
            <w:u w:val="single"/>
          </w:rPr>
          <w:t xml:space="preserve">Record</w:t>
        </w:r>
      </w:hyperlink>
      <w:r>
        <w:rPr/>
        <w:t>. Foundational peptide-isolation and bioassay study; used only for the CRH–corticotropin link. Full-text access was unavailable in this review; complete pathway anatomy is supported separately by B23.</w:t>
      </w:r>
    </w:p>
    <w:p>
      <w:pPr>
        <w:pStyle w:val="Reference"/>
      </w:pPr>
      <w:r>
        <w:rPr>
          <w:b/>
        </w:rPr>
        <w:t>B10.</w:t>
      </w:r>
      <w:r>
        <w:rPr/>
        <w:t xml:space="preserve"> Kirschbaum, C., Pirke, K.-M., and Hellhammer, D. H. (1993). The ‘Trier Social Stress Test’—A tool for investigating psychobiological stress responses in a laboratory setting. </w:t>
      </w:r>
      <w:r>
        <w:rPr>
          <w:i/>
        </w:rPr>
        <w:t>Neuropsychobiology, 28</w:t>
      </w:r>
      <w:r>
        <w:rPr/>
        <w:t xml:space="preserve">, 76–81. </w:t>
      </w:r>
      <w:hyperlink r:id="rId68">
        <w:r>
          <w:rPr>
            <w:color w:val="000000"/>
            <w:u w:val="single"/>
          </w:rPr>
          <w:t xml:space="preserve">https://doi.org/10.1159/000119004</w:t>
        </w:r>
      </w:hyperlink>
      <w:r>
        <w:rPr/>
        <w:t>.</w:t>
      </w:r>
      <w:r>
        <w:rPr/>
        <w:t xml:space="preserve"> </w:t>
      </w:r>
      <w:hyperlink r:id="rId69">
        <w:r>
          <w:rPr>
            <w:color w:val="000000"/>
            <w:u w:val="single"/>
          </w:rPr>
          <w:t xml:space="preserve">Primary abstract</w:t>
        </w:r>
      </w:hyperlink>
      <w:r>
        <w:rPr/>
        <w:t>. Laboratory protocol and six-study report; responses under its conditions do not establish an emotion-universal sequence.</w:t>
      </w:r>
    </w:p>
    <w:p>
      <w:pPr>
        <w:pStyle w:val="Reference"/>
      </w:pPr>
      <w:r>
        <w:rPr>
          <w:b/>
        </w:rPr>
        <w:t>B11.</w:t>
      </w:r>
      <w:r>
        <w:rPr/>
        <w:t xml:space="preserve"> Cohen, S., Janicki-Deverts, D., Doyle, W. J., Miller, G. E., Frank, E., Rabin, B. S., and Turner, R. B. (2012). Chronic stress, glucocorticoid receptor resistance, inflammation, and disease risk. </w:t>
      </w:r>
      <w:r>
        <w:rPr>
          <w:i/>
        </w:rPr>
        <w:t>Proceedings of the National Academy of Sciences, 109</w:t>
      </w:r>
      <w:r>
        <w:rPr/>
        <w:t xml:space="preserve">, 5995–5999. </w:t>
      </w:r>
      <w:hyperlink r:id="rId70">
        <w:r>
          <w:rPr>
            <w:color w:val="000000"/>
            <w:u w:val="single"/>
          </w:rPr>
          <w:t xml:space="preserve">https://doi.org/10.1073/pnas.1118355109</w:t>
        </w:r>
      </w:hyperlink>
      <w:r>
        <w:rPr/>
        <w:t>.</w:t>
      </w:r>
      <w:r>
        <w:rPr/>
        <w:t xml:space="preserve"> </w:t>
      </w:r>
      <w:hyperlink r:id="rId71">
        <w:r>
          <w:rPr>
            <w:color w:val="000000"/>
            <w:u w:val="single"/>
          </w:rPr>
          <w:t xml:space="preserve">Full text</w:t>
        </w:r>
      </w:hyperlink>
      <w:r>
        <w:rPr/>
        <w:t>. Two human viral-challenge studies; chronic stress exposure was observational, not randomized.</w:t>
      </w:r>
    </w:p>
    <w:p>
      <w:pPr>
        <w:pStyle w:val="Reference"/>
      </w:pPr>
      <w:r>
        <w:rPr>
          <w:b/>
        </w:rPr>
        <w:t>B12.</w:t>
      </w:r>
      <w:r>
        <w:rPr/>
        <w:t xml:space="preserve"> Vitlic, A., Khanfer, R., Lord, J. M., Carroll, D., and Phillips, A. C. (2014). Bereavement reduces neutrophil oxidative burst only in older adults: role of the HPA axis and immunesenescence. </w:t>
      </w:r>
      <w:r>
        <w:rPr>
          <w:i/>
        </w:rPr>
        <w:t>Immunity &amp; Ageing, 11</w:t>
      </w:r>
      <w:r>
        <w:rPr/>
        <w:t xml:space="preserve">, 13. </w:t>
      </w:r>
      <w:hyperlink r:id="rId72">
        <w:r>
          <w:rPr>
            <w:color w:val="000000"/>
            <w:u w:val="single"/>
          </w:rPr>
          <w:t xml:space="preserve">https://doi.org/10.1186/1742-4933-11-13</w:t>
        </w:r>
      </w:hyperlink>
      <w:r>
        <w:rPr/>
        <w:t>.</w:t>
      </w:r>
      <w:r>
        <w:rPr/>
        <w:t xml:space="preserve"> Original observational study; the article title should not obscure its nonsignificant age-by-bereavement interaction or turn subgroup contrasts into a proved age-dependent mechanism.</w:t>
      </w:r>
    </w:p>
    <w:p>
      <w:pPr>
        <w:pStyle w:val="Reference"/>
      </w:pPr>
      <w:r>
        <w:rPr>
          <w:b/>
        </w:rPr>
        <w:t>B13.</w:t>
      </w:r>
      <w:r>
        <w:rPr/>
        <w:t xml:space="preserve"> Epel, E. S., Blackburn, E. H., Lin, J., Dhabhar, F. S., Adler, N. E., Morrow, J. D., and Cawthon, R. M. (2004). Accelerated telomere shortening in response to life stress. </w:t>
      </w:r>
      <w:r>
        <w:rPr>
          <w:i/>
        </w:rPr>
        <w:t>Proceedings of the National Academy of Sciences, 101</w:t>
      </w:r>
      <w:r>
        <w:rPr/>
        <w:t xml:space="preserve">, 17312–17315. </w:t>
      </w:r>
      <w:hyperlink r:id="rId73">
        <w:r>
          <w:rPr>
            <w:color w:val="000000"/>
            <w:u w:val="single"/>
          </w:rPr>
          <w:t xml:space="preserve">https://doi.org/10.1073/pnas.0407162101</w:t>
        </w:r>
      </w:hyperlink>
      <w:r>
        <w:rPr/>
        <w:t>.</w:t>
      </w:r>
      <w:r>
        <w:rPr/>
        <w:t xml:space="preserve"> </w:t>
      </w:r>
      <w:hyperlink r:id="rId74">
        <w:r>
          <w:rPr>
            <w:color w:val="000000"/>
            <w:u w:val="single"/>
          </w:rPr>
          <w:t xml:space="preserve">Full text</w:t>
        </w:r>
      </w:hyperlink>
      <w:r>
        <w:rPr/>
        <w:t>. Cross-sectional biomarker study; it does not directly measure a longitudinal within-person shortening rate.</w:t>
      </w:r>
    </w:p>
    <w:p>
      <w:pPr>
        <w:pStyle w:val="Reference"/>
      </w:pPr>
      <w:r>
        <w:rPr>
          <w:b/>
        </w:rPr>
        <w:t>B14.</w:t>
      </w:r>
      <w:r>
        <w:rPr/>
        <w:t xml:space="preserve"> Tsuji, H., Venditti, F. J., Jr., Manders, E. S., Evans, J. C., Larson, M. G., Feldman, C. L., and Levy, D. (1994). Reduced heart rate variability and mortality risk in an elderly cohort: The Framingham Heart Study. </w:t>
      </w:r>
      <w:r>
        <w:rPr>
          <w:i/>
        </w:rPr>
        <w:t>Circulation, 90</w:t>
      </w:r>
      <w:r>
        <w:rPr/>
        <w:t xml:space="preserve">, 878–883. </w:t>
      </w:r>
      <w:hyperlink r:id="rId75">
        <w:r>
          <w:rPr>
            <w:color w:val="000000"/>
            <w:u w:val="single"/>
          </w:rPr>
          <w:t xml:space="preserve">https://doi.org/10.1161/01.CIR.90.2.878</w:t>
        </w:r>
      </w:hyperlink>
      <w:r>
        <w:rPr/>
        <w:t>.</w:t>
      </w:r>
      <w:r>
        <w:rPr/>
        <w:t xml:space="preserve"> </w:t>
      </w:r>
      <w:hyperlink r:id="rId76">
        <w:r>
          <w:rPr>
            <w:color w:val="000000"/>
            <w:u w:val="single"/>
          </w:rPr>
          <w:t xml:space="preserve">Primary abstract</w:t>
        </w:r>
      </w:hyperlink>
      <w:r>
        <w:rPr/>
        <w:t>. Prospective analysis of 736 older participants; not an all-demographic or relational-causation result.</w:t>
      </w:r>
    </w:p>
    <w:p>
      <w:pPr>
        <w:pStyle w:val="Reference"/>
      </w:pPr>
      <w:r>
        <w:rPr>
          <w:b/>
        </w:rPr>
        <w:t>B15.</w:t>
      </w:r>
      <w:r>
        <w:rPr/>
        <w:t xml:space="preserve"> Melzack, R., Israel, R., Lacroix, R., and Schultz, G. (1997). Phantom limbs in people with congenital limb deficiency or amputation in early childhood. </w:t>
      </w:r>
      <w:r>
        <w:rPr>
          <w:i/>
        </w:rPr>
        <w:t>Brain, 120</w:t>
      </w:r>
      <w:r>
        <w:rPr/>
        <w:t xml:space="preserve">, 1603–1620. </w:t>
      </w:r>
      <w:hyperlink r:id="rId77">
        <w:r>
          <w:rPr>
            <w:color w:val="000000"/>
            <w:u w:val="single"/>
          </w:rPr>
          <w:t xml:space="preserve">https://doi.org/10.1093/brain/120.9.1603</w:t>
        </w:r>
      </w:hyperlink>
      <w:r>
        <w:rPr/>
        <w:t>.</w:t>
      </w:r>
      <w:r>
        <w:rPr/>
        <w:t xml:space="preserve"> </w:t>
      </w:r>
      <w:hyperlink r:id="rId78">
        <w:r>
          <w:rPr>
            <w:color w:val="000000"/>
            <w:u w:val="single"/>
          </w:rPr>
          <w:t xml:space="preserve">Primary abstract</w:t>
        </w:r>
      </w:hyperlink>
      <w:r>
        <w:rPr/>
        <w:t>. Sample-specific phantom reports do not eliminate all peripheral signaling or establish genetic causation.</w:t>
      </w:r>
    </w:p>
    <w:p>
      <w:pPr>
        <w:pStyle w:val="Reference"/>
      </w:pPr>
      <w:r>
        <w:rPr>
          <w:b/>
        </w:rPr>
        <w:t>B16.</w:t>
      </w:r>
      <w:r>
        <w:rPr/>
        <w:t xml:space="preserve"> Critchley, H. D., Wiens, S., Rotshtein, P., Öhman, A., and Dolan, R. J. (2004). Neural systems supporting interoceptive awareness. </w:t>
      </w:r>
      <w:r>
        <w:rPr>
          <w:i/>
        </w:rPr>
        <w:t>Nature Neuroscience, 7</w:t>
      </w:r>
      <w:r>
        <w:rPr/>
        <w:t xml:space="preserve">, 189–195. </w:t>
      </w:r>
      <w:hyperlink r:id="rId79">
        <w:r>
          <w:rPr>
            <w:color w:val="000000"/>
            <w:u w:val="single"/>
          </w:rPr>
          <w:t xml:space="preserve">https://doi.org/10.1038/nn1176</w:t>
        </w:r>
      </w:hyperlink>
      <w:r>
        <w:rPr/>
        <w:t>.</w:t>
      </w:r>
      <w:r>
        <w:rPr/>
        <w:t xml:space="preserve"> Heartbeat-judgment imaging study; not a demonstration of the constitution of every feeling.</w:t>
      </w:r>
    </w:p>
    <w:p>
      <w:pPr>
        <w:pStyle w:val="Reference"/>
      </w:pPr>
      <w:r>
        <w:rPr>
          <w:b/>
        </w:rPr>
        <w:t>B17.</w:t>
      </w:r>
      <w:r>
        <w:rPr/>
        <w:t xml:space="preserve"> Bartrop, R. W., Luckhurst, E., Lazarus, L., Kiloh, L. G., and Penny, R. (1977). Depressed lymphocyte function after bereavement. </w:t>
      </w:r>
      <w:r>
        <w:rPr>
          <w:i/>
        </w:rPr>
        <w:t>The Lancet, 1</w:t>
      </w:r>
      <w:r>
        <w:rPr/>
        <w:t xml:space="preserve">, 834–836. </w:t>
      </w:r>
      <w:hyperlink r:id="rId80">
        <w:r>
          <w:rPr>
            <w:color w:val="000000"/>
            <w:u w:val="single"/>
          </w:rPr>
          <w:t xml:space="preserve">https://doi.org/10.1016/S0140-6736(77)92780-5</w:t>
        </w:r>
      </w:hyperlink>
      <w:r>
        <w:rPr/>
        <w:t>.</w:t>
      </w:r>
      <w:r>
        <w:rPr/>
        <w:t xml:space="preserve"> </w:t>
      </w:r>
      <w:hyperlink r:id="rId81">
        <w:r>
          <w:rPr>
            <w:color w:val="000000"/>
            <w:u w:val="single"/>
          </w:rPr>
          <w:t xml:space="preserve">Primary abstract</w:t>
        </w:r>
      </w:hyperlink>
      <w:r>
        <w:rPr/>
        <w:t>. Audit-only reference: 26 bereaved spouses and specific assay results; no universal immune-suppression peak established.</w:t>
      </w:r>
    </w:p>
    <w:p>
      <w:pPr>
        <w:pStyle w:val="Reference"/>
      </w:pPr>
      <w:r>
        <w:rPr>
          <w:b/>
        </w:rPr>
        <w:t>B18.</w:t>
      </w:r>
      <w:r>
        <w:rPr/>
        <w:t xml:space="preserve"> Zannas, A. S., et al. (2015). Lifetime stress accelerates epigenetic aging in an urban, African American cohort: relevance of glucocorticoid signaling. </w:t>
      </w:r>
      <w:r>
        <w:rPr>
          <w:i/>
        </w:rPr>
        <w:t>Genome Biology, 16</w:t>
      </w:r>
      <w:r>
        <w:rPr/>
        <w:t xml:space="preserve">, 266. </w:t>
      </w:r>
      <w:hyperlink r:id="rId82">
        <w:r>
          <w:rPr>
            <w:color w:val="000000"/>
            <w:u w:val="single"/>
          </w:rPr>
          <w:t xml:space="preserve">https://doi.org/10.1186/s13059-015-0828-5</w:t>
        </w:r>
      </w:hyperlink>
      <w:r>
        <w:rPr/>
        <w:t>.</w:t>
      </w:r>
      <w:r>
        <w:rPr/>
        <w:t xml:space="preserve"> </w:t>
      </w:r>
      <w:hyperlink r:id="rId83">
        <w:r>
          <w:rPr>
            <w:color w:val="000000"/>
            <w:u w:val="single"/>
          </w:rPr>
          <w:t xml:space="preserve">Correction</w:t>
        </w:r>
      </w:hyperlink>
      <w:r>
        <w:rPr/>
        <w:t>. Audit-only reference: observational methylation-clock association in a defined cohort, not a universal biological aging rate or a conversion to energy.</w:t>
      </w:r>
    </w:p>
    <w:p>
      <w:pPr>
        <w:pStyle w:val="Reference"/>
      </w:pPr>
      <w:r>
        <w:rPr>
          <w:b/>
        </w:rPr>
        <w:t>B19.</w:t>
      </w:r>
      <w:r>
        <w:rPr/>
        <w:t xml:space="preserve"> Feinstein, J. S., et al. (2013). Fear and panic in humans with bilateral amygdala damage. </w:t>
      </w:r>
      <w:r>
        <w:rPr>
          <w:i/>
        </w:rPr>
        <w:t>Nature Neuroscience, 16</w:t>
      </w:r>
      <w:r>
        <w:rPr/>
        <w:t xml:space="preserve">, 270–272. </w:t>
      </w:r>
      <w:hyperlink r:id="rId84">
        <w:r>
          <w:rPr>
            <w:color w:val="000000"/>
            <w:u w:val="single"/>
          </w:rPr>
          <w:t xml:space="preserve">https://doi.org/10.1038/nn.3323</w:t>
        </w:r>
      </w:hyperlink>
      <w:r>
        <w:rPr/>
        <w:t>.</w:t>
      </w:r>
      <w:r>
        <w:rPr/>
        <w:t xml:space="preserve"> </w:t>
      </w:r>
      <w:hyperlink r:id="rId85">
        <w:r>
          <w:rPr>
            <w:color w:val="000000"/>
            <w:u w:val="single"/>
          </w:rPr>
          <w:t xml:space="preserve">Full text</w:t>
        </w:r>
      </w:hyperlink>
      <w:r>
        <w:rPr/>
        <w:t xml:space="preserve">. Three rare neurological cases under a </w:t>
      </w:r>
      <m:oMath>
        <m:sSub>
          <m:e>
            <m:r>
              <m:rPr>
                <m:nor m:val="1"/>
                <m:sty m:val="p"/>
              </m:rPr>
              <w:rPr>
                <w:rFonts w:ascii="Latin Modern Math" w:hAnsi="Latin Modern Math"/>
              </w:rPr>
              <m:t xml:space="preserve">CO</m:t>
            </m:r>
          </m:e>
          <m:sub>
            <m:r>
              <m:rPr>
                <m:nor m:val="1"/>
                <m:sty m:val="p"/>
              </m:rPr>
              <w:rPr>
                <w:rFonts w:ascii="Latin Modern Math" w:hAnsi="Latin Modern Math"/>
              </w:rPr>
              <m:t xml:space="preserve">2</m:t>
            </m:r>
          </m:sub>
        </m:sSub>
      </m:oMath>
      <w:r>
        <w:rPr/>
        <w:t xml:space="preserve"> challenge; a narrow counterexample, not a general emotion theory.</w:t>
      </w:r>
    </w:p>
    <w:p>
      <w:pPr>
        <w:pStyle w:val="Reference"/>
      </w:pPr>
      <w:r>
        <w:rPr>
          <w:b/>
        </w:rPr>
        <w:t>B20.</w:t>
      </w:r>
      <w:r>
        <w:rPr/>
        <w:t xml:space="preserve"> National Institute of Standards and Technology. </w:t>
      </w:r>
      <w:r>
        <w:rPr>
          <w:i/>
        </w:rPr>
        <w:t>Kelvin: Present Realization</w:t>
      </w:r>
      <w:r>
        <w:rPr/>
        <w:t xml:space="preserve">. </w:t>
      </w:r>
      <w:hyperlink r:id="rId86">
        <w:r>
          <w:rPr>
            <w:color w:val="000000"/>
            <w:u w:val="single"/>
          </w:rPr>
          <w:t xml:space="preserve">https://www.nist.gov/si-redefinition/kelvin/kelvin-present-realization</w:t>
        </w:r>
      </w:hyperlink>
      <w:r>
        <w:rPr/>
        <w:t>.</w:t>
      </w:r>
      <w:r>
        <w:rPr/>
        <w:t xml:space="preserve"> Official metrology reference for the exact SI value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 1.380649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-23</m:t>
            </m:r>
          </m:sup>
        </m:sSup>
      </m:oMath>
      <w:r>
        <w:rPr/>
        <w:t xml:space="preserve"> J/K. Numerical evaluations in this revision were recomputed on 28 October 2026.</w:t>
      </w:r>
    </w:p>
    <w:p>
      <w:pPr>
        <w:pStyle w:val="Reference"/>
      </w:pPr>
      <w:r>
        <w:rPr>
          <w:b/>
        </w:rPr>
        <w:t>B21.</w:t>
      </w:r>
      <w:r>
        <w:rPr/>
        <w:t xml:space="preserve"> Damasio, A. R. (1996). The somatic marker hypothesis and the possible functions of the prefrontal cortex. </w:t>
      </w:r>
      <w:r>
        <w:rPr>
          <w:i/>
        </w:rPr>
        <w:t>Philosophical Transactions of the Royal Society B, 351</w:t>
      </w:r>
      <w:r>
        <w:rPr/>
        <w:t xml:space="preserve">, 1413–1420. </w:t>
      </w:r>
      <w:hyperlink r:id="rId87">
        <w:r>
          <w:rPr>
            <w:color w:val="000000"/>
            <w:u w:val="single"/>
          </w:rPr>
          <w:t xml:space="preserve">https://doi.org/10.1098/rstb.1996.0125</w:t>
        </w:r>
      </w:hyperlink>
      <w:r>
        <w:rPr/>
        <w:t>.</w:t>
      </w:r>
      <w:r>
        <w:rPr/>
        <w:t xml:space="preserve"> Author's theoretical account, not a universal sequence or metabolic comparison. The original chapter's 1994 and 2003 book references remain historical context rather than newly verified primary experimental evidence.</w:t>
      </w:r>
    </w:p>
    <w:p>
      <w:pPr>
        <w:pStyle w:val="Reference"/>
      </w:pPr>
      <w:r>
        <w:rPr>
          <w:b/>
        </w:rPr>
        <w:t>B22.</w:t>
      </w:r>
      <w:r>
        <w:rPr/>
        <w:t xml:space="preserve"> Barrett, L. F. (2017). The theory of constructed emotion: an active inference account of interoception and categorization. </w:t>
      </w:r>
      <w:r>
        <w:rPr>
          <w:i/>
        </w:rPr>
        <w:t>Social Cognitive and Affective Neuroscience, 12</w:t>
      </w:r>
      <w:r>
        <w:rPr/>
        <w:t xml:space="preserve">, 1–23. </w:t>
      </w:r>
      <w:hyperlink r:id="rId88">
        <w:r>
          <w:rPr>
            <w:color w:val="000000"/>
            <w:u w:val="single"/>
          </w:rPr>
          <w:t xml:space="preserve">https://doi.org/10.1093/scan/nsw154</w:t>
        </w:r>
      </w:hyperlink>
      <w:r>
        <w:rPr/>
        <w:t>.</w:t>
      </w:r>
      <w:r>
        <w:rPr/>
        <w:t xml:space="preserve"> Original theoretical account, published online in 2016 and issue-dated 2017; not a causal experiment establishing the framework's cascade.</w:t>
      </w:r>
    </w:p>
    <w:p>
      <w:pPr>
        <w:pStyle w:val="Reference"/>
      </w:pPr>
      <w:r>
        <w:rPr>
          <w:b/>
        </w:rPr>
        <w:t>B23.</w:t>
      </w:r>
      <w:r>
        <w:rPr/>
        <w:t xml:space="preserve"> Tsigos, C., Kyrou, I., Kassi, E., and Chrousos, G. P. (2020 update). Stress: Endocrine Physiology and Pathophysiology. In </w:t>
      </w:r>
      <w:r>
        <w:rPr>
          <w:i/>
        </w:rPr>
        <w:t>Endotext</w:t>
      </w:r>
      <w:r>
        <w:rPr/>
        <w:t xml:space="preserve">. </w:t>
      </w:r>
      <w:hyperlink r:id="rId89">
        <w:r>
          <w:rPr>
            <w:color w:val="000000"/>
            <w:u w:val="single"/>
          </w:rPr>
          <w:t xml:space="preserve">https://www.ncbi.nlm.nih.gov/sites/books/NBK278995/</w:t>
        </w:r>
      </w:hyperlink>
      <w:r>
        <w:rPr/>
        <w:t>.</w:t>
      </w:r>
      <w:r>
        <w:rPr/>
        <w:t xml:space="preserve"> Authoritative physiological reference, particularly the HPA-axis and sympathetic/adrenomedullary sections; not primary experimental evidence of a universal emotional response or its energetic cost.</w:t>
      </w:r>
    </w:p>
    <w:p>
      <w:pPr>
        <w:pStyle w:val="Heading3"/>
      </w:pPr>
      <w:bookmarkStart w:id="191" w:name="v2_l665"/>
      <w:r>
        <w:rPr>
          <w:sz w:val="26"/>
        </w:rPr>
        <w:t>Original review citations and their status</w:t>
      </w:r>
      <w:bookmarkEnd w:id="191"/>
    </w:p>
    <w:p>
      <w:pPr>
        <w:pStyle w:val="Reference"/>
      </w:pPr>
      <w:r>
        <w:rPr/>
        <w:t xml:space="preserve">Díaz-García, C. M., and Yellen, G. (2019; online 2018). Neurons rely on glucose rather than astrocytic lactate during stimulation. </w:t>
      </w:r>
      <w:r>
        <w:rPr>
          <w:i/>
        </w:rPr>
        <w:t>Journal of Neuroscience Research, 97</w:t>
      </w:r>
      <w:r>
        <w:rPr/>
        <w:t xml:space="preserve">, 883–889. </w:t>
      </w:r>
      <w:hyperlink r:id="rId90">
        <w:r>
          <w:rPr>
            <w:color w:val="000000"/>
            <w:u w:val="single"/>
          </w:rPr>
          <w:t xml:space="preserve">https://doi.org/10.1002/jnr.24374</w:t>
        </w:r>
      </w:hyperlink>
      <w:r>
        <w:rPr/>
        <w:t>.</w:t>
      </w:r>
      <w:r>
        <w:rPr/>
        <w:t xml:space="preserve"> Review. The original 2.7-fold argument is not a primary Mz calibration result.</w:t>
      </w:r>
    </w:p>
    <w:p>
      <w:pPr>
        <w:pStyle w:val="Reference"/>
      </w:pPr>
      <w:r>
        <w:rPr/>
        <w:t xml:space="preserve">Shepherd, J. (2023; online 2022). Conscious cognitive effort in cognitive control. </w:t>
      </w:r>
      <w:r>
        <w:rPr>
          <w:i/>
        </w:rPr>
        <w:t>WIREs Cognitive Science, 14</w:t>
      </w:r>
      <w:r>
        <w:rPr/>
        <w:t xml:space="preserve">, e1629. </w:t>
      </w:r>
      <w:hyperlink r:id="rId91">
        <w:r>
          <w:rPr>
            <w:color w:val="000000"/>
            <w:u w:val="single"/>
          </w:rPr>
          <w:t xml:space="preserve">https://doi.org/10.1002/wcs.1629</w:t>
        </w:r>
      </w:hyperlink>
      <w:r>
        <w:rPr/>
        <w:t>.</w:t>
      </w:r>
      <w:r>
        <w:rPr/>
        <w:t xml:space="preserve"> Advanced review and conceptual analysis. Its discussion of unresolved definitions cannot be turned into a measured thermodynamic identity.</w:t>
      </w:r>
    </w:p>
    <w:p>
      <w:pPr>
        <w:pStyle w:val="Reference"/>
      </w:pPr>
      <w:r>
        <w:rPr/>
        <w:t xml:space="preserve">Hopf, D., Eckstein, M., Aguilar-Raab, C., Warth, M., and Ditzen, B. (2020). Neuroendocrine mechanisms of grief and bereavement: A systematic review and implications for future interventions. </w:t>
      </w:r>
      <w:r>
        <w:rPr>
          <w:i/>
        </w:rPr>
        <w:t>Journal of Neuroendocrinology, 32</w:t>
      </w:r>
      <w:r>
        <w:rPr/>
        <w:t xml:space="preserve">, e12887. </w:t>
      </w:r>
      <w:hyperlink r:id="rId92">
        <w:r>
          <w:rPr>
            <w:color w:val="000000"/>
            <w:u w:val="single"/>
          </w:rPr>
          <w:t xml:space="preserve">https://doi.org/10.1111/jne.12887</w:t>
        </w:r>
      </w:hyperlink>
      <w:r>
        <w:rPr/>
        <w:t>.</w:t>
      </w:r>
      <w:r>
        <w:rPr/>
        <w:t xml:space="preserve"> Systematic review, retained as historical context; the revised physiological examples instead identify primary studies and their limits.</w:t>
      </w:r>
    </w:p>
    <w:p>
      <w:pPr>
        <w:pStyle w:val="Heading2"/>
        <w:pageBreakBefore/>
        <w:spacing w:before="280" w:after="220"/>
      </w:pPr>
      <w:bookmarkStart w:id="192" w:name="v2_l673"/>
      <w:r>
        <w:rPr>
          <w:sz w:val="36"/>
        </w:rPr>
        <w:t>References for Chapters 4 to 6</w:t>
      </w:r>
      <w:bookmarkEnd w:id="192"/>
    </w:p>
    <w:p>
      <w:pPr>
        <w:pStyle w:val="Reference"/>
      </w:pPr>
      <w:r>
        <w:rPr/>
        <w:t>The bracketed A numbers identify sources, not evidence grades. Online-first and issue dates are distinguished where the original citations used the former. Source access and unresolved discrepancies are stated below.</w:t>
      </w:r>
    </w:p>
    <w:p>
      <w:pPr>
        <w:pStyle w:val="Reference"/>
      </w:pPr>
      <w:r>
        <w:rPr>
          <w:b/>
        </w:rPr>
        <w:t>A1.</w:t>
      </w:r>
      <w:r>
        <w:rPr/>
        <w:t xml:space="preserve"> McLaughlin, K. A., et al. (2016; online 2015). Maltreatment Exposure, Brain Structure, and Fear Conditioning in Children and Adolescents. </w:t>
      </w:r>
      <w:r>
        <w:rPr>
          <w:i/>
        </w:rPr>
        <w:t>Neuropsychopharmacology, 41</w:t>
      </w:r>
      <w:r>
        <w:rPr/>
        <w:t xml:space="preserve">, 1956–1964. </w:t>
      </w:r>
      <w:hyperlink r:id="rId93">
        <w:r>
          <w:rPr>
            <w:color w:val="000000"/>
            <w:u w:val="single"/>
          </w:rPr>
          <w:t xml:space="preserve">DOI</w:t>
        </w:r>
      </w:hyperlink>
      <w:r>
        <w:rPr/>
        <w:t xml:space="preserve">. </w:t>
      </w:r>
      <w:hyperlink r:id="rId94">
        <w:r>
          <w:rPr>
            <w:color w:val="000000"/>
            <w:u w:val="single"/>
          </w:rPr>
          <w:t xml:space="preserve">Author-hosted article</w:t>
        </w:r>
      </w:hyperlink>
      <w:r>
        <w:rPr/>
        <w:t>.</w:t>
      </w:r>
    </w:p>
    <w:p>
      <w:pPr>
        <w:pStyle w:val="Reference"/>
      </w:pPr>
      <w:r>
        <w:rPr>
          <w:b/>
        </w:rPr>
        <w:t>A2.</w:t>
      </w:r>
      <w:r>
        <w:rPr/>
        <w:t xml:space="preserve"> Machlin, L., et al. (2024). Alterations in fear learning as a mechanism linking childhood exposure to violence with PTSD symptoms: a longitudinal study. </w:t>
      </w:r>
      <w:r>
        <w:rPr>
          <w:i/>
        </w:rPr>
        <w:t>Psychological Medicine, 54</w:t>
      </w:r>
      <w:r>
        <w:rPr/>
        <w:t xml:space="preserve">, 3389–3397. </w:t>
      </w:r>
      <w:hyperlink r:id="rId95">
        <w:r>
          <w:rPr>
            <w:color w:val="000000"/>
            <w:u w:val="single"/>
          </w:rPr>
          <w:t xml:space="preserve">DOI</w:t>
        </w:r>
      </w:hyperlink>
      <w:r>
        <w:rPr/>
        <w:t xml:space="preserve">. </w:t>
      </w:r>
      <w:hyperlink r:id="rId96">
        <w:r>
          <w:rPr>
            <w:color w:val="000000"/>
            <w:u w:val="single"/>
          </w:rPr>
          <w:t xml:space="preserve">Author-hosted article</w:t>
        </w:r>
      </w:hyperlink>
      <w:r>
        <w:rPr/>
        <w:t>.</w:t>
      </w:r>
    </w:p>
    <w:p>
      <w:pPr>
        <w:pStyle w:val="Reference"/>
      </w:pPr>
      <w:r>
        <w:rPr>
          <w:b/>
        </w:rPr>
        <w:t>A3.</w:t>
      </w:r>
      <w:r>
        <w:rPr/>
        <w:t xml:space="preserve"> Draganski, B., Gaser, C., Busch, V., Schuierer, G., Bogdahn, U., &amp; May, A. (2004). Neuroplasticity: changes in grey matter induced by training. </w:t>
      </w:r>
      <w:r>
        <w:rPr>
          <w:i/>
        </w:rPr>
        <w:t>Nature, 427</w:t>
      </w:r>
      <w:r>
        <w:rPr/>
        <w:t xml:space="preserve">, 311–312. </w:t>
      </w:r>
      <w:hyperlink r:id="rId97">
        <w:r>
          <w:rPr>
            <w:color w:val="000000"/>
            <w:u w:val="single"/>
          </w:rPr>
          <w:t xml:space="preserve">Publisher</w:t>
        </w:r>
      </w:hyperlink>
      <w:r>
        <w:rPr/>
        <w:t>.</w:t>
      </w:r>
    </w:p>
    <w:p>
      <w:pPr>
        <w:pStyle w:val="Reference"/>
      </w:pPr>
      <w:r>
        <w:rPr>
          <w:b/>
        </w:rPr>
        <w:t>A4.</w:t>
      </w:r>
      <w:r>
        <w:rPr/>
        <w:t xml:space="preserve"> Kolchinsky, A., &amp; Wolpert, D. H. (2018). Semantic information, autonomous agency and non-equilibrium statistical physics. </w:t>
      </w:r>
      <w:r>
        <w:rPr>
          <w:i/>
        </w:rPr>
        <w:t>Interface Focus, 8</w:t>
      </w:r>
      <w:r>
        <w:rPr/>
        <w:t xml:space="preserve">, 20180041. </w:t>
      </w:r>
      <w:hyperlink r:id="rId36">
        <w:r>
          <w:rPr>
            <w:color w:val="000000"/>
            <w:u w:val="single"/>
          </w:rPr>
          <w:t xml:space="preserve">DOI</w:t>
        </w:r>
      </w:hyperlink>
      <w:r>
        <w:rPr/>
        <w:t xml:space="preserve">. </w:t>
      </w:r>
      <w:hyperlink r:id="rId28">
        <w:r>
          <w:rPr>
            <w:color w:val="000000"/>
            <w:u w:val="single"/>
          </w:rPr>
          <w:t xml:space="preserve">Author-hosted article</w:t>
        </w:r>
      </w:hyperlink>
      <w:r>
        <w:rPr/>
        <w:t>.</w:t>
      </w:r>
    </w:p>
    <w:p>
      <w:pPr>
        <w:pStyle w:val="Reference"/>
      </w:pPr>
      <w:r>
        <w:rPr>
          <w:b/>
        </w:rPr>
        <w:t>A5.</w:t>
      </w:r>
      <w:r>
        <w:rPr/>
        <w:t xml:space="preserve"> Bennett, C. H. (1973). Logical Reversibility of Computation. </w:t>
      </w:r>
      <w:r>
        <w:rPr>
          <w:i/>
        </w:rPr>
        <w:t>IBM Journal of Research and Development, 17</w:t>
      </w:r>
      <w:r>
        <w:rPr/>
        <w:t xml:space="preserve">, 525–532. </w:t>
      </w:r>
      <w:hyperlink r:id="rId30">
        <w:r>
          <w:rPr>
            <w:color w:val="000000"/>
            <w:u w:val="single"/>
          </w:rPr>
          <w:t xml:space="preserve">DOI</w:t>
        </w:r>
      </w:hyperlink>
      <w:r>
        <w:rPr/>
        <w:t xml:space="preserve">. </w:t>
      </w:r>
      <w:hyperlink r:id="rId98">
        <w:r>
          <w:rPr>
            <w:color w:val="000000"/>
            <w:u w:val="single"/>
          </w:rPr>
          <w:t xml:space="preserve">Scanned primary article</w:t>
        </w:r>
      </w:hyperlink>
      <w:r>
        <w:rPr/>
        <w:t>.</w:t>
      </w:r>
    </w:p>
    <w:p>
      <w:pPr>
        <w:pStyle w:val="Reference"/>
      </w:pPr>
      <w:r>
        <w:rPr>
          <w:b/>
        </w:rPr>
        <w:t>A6.</w:t>
      </w:r>
      <w:r>
        <w:rPr/>
        <w:t xml:space="preserve"> O'Connor, M.-F., Wellisch, D. K., Stanton, A. L., Olmstead, R., &amp; Irwin, M. R. (2012; online 2011). Diurnal cortisol in Complicated and Non-Complicated Grief: slope differences across the day. </w:t>
      </w:r>
      <w:r>
        <w:rPr>
          <w:i/>
        </w:rPr>
        <w:t>Psychoneuroendocrinology, 37</w:t>
      </w:r>
      <w:r>
        <w:rPr/>
        <w:t xml:space="preserve">, 725–728. </w:t>
      </w:r>
      <w:hyperlink r:id="rId55">
        <w:r>
          <w:rPr>
            <w:color w:val="000000"/>
            <w:u w:val="single"/>
          </w:rPr>
          <w:t xml:space="preserve">DOI</w:t>
        </w:r>
      </w:hyperlink>
      <w:r>
        <w:rPr/>
        <w:t xml:space="preserve">. </w:t>
      </w:r>
      <w:hyperlink r:id="rId99">
        <w:r>
          <w:rPr>
            <w:color w:val="000000"/>
            <w:u w:val="single"/>
          </w:rPr>
          <w:t xml:space="preserve">Institution-hosted article</w:t>
        </w:r>
      </w:hyperlink>
      <w:r>
        <w:rPr/>
        <w:t>.</w:t>
      </w:r>
    </w:p>
    <w:p>
      <w:pPr>
        <w:pStyle w:val="Reference"/>
      </w:pPr>
      <w:r>
        <w:rPr>
          <w:b/>
        </w:rPr>
        <w:t>A7.</w:t>
      </w:r>
      <w:r>
        <w:rPr/>
        <w:t xml:space="preserve"> Buckley, T., et al. (2012). Effect of early bereavement on heart rate and heart rate variability. </w:t>
      </w:r>
      <w:r>
        <w:rPr>
          <w:i/>
        </w:rPr>
        <w:t>American Journal of Cardiology, 110</w:t>
      </w:r>
      <w:r>
        <w:rPr/>
        <w:t xml:space="preserve">, 1378–1383. </w:t>
      </w:r>
      <w:hyperlink r:id="rId100">
        <w:r>
          <w:rPr>
            <w:color w:val="000000"/>
            <w:u w:val="single"/>
          </w:rPr>
          <w:t xml:space="preserve">DOI</w:t>
        </w:r>
      </w:hyperlink>
      <w:r>
        <w:rPr/>
        <w:t xml:space="preserve">. </w:t>
      </w:r>
      <w:hyperlink r:id="rId101">
        <w:r>
          <w:rPr>
            <w:color w:val="000000"/>
            <w:u w:val="single"/>
          </w:rPr>
          <w:t xml:space="preserve">Author-institution abstract</w:t>
        </w:r>
      </w:hyperlink>
      <w:r>
        <w:rPr/>
        <w:t>.</w:t>
      </w:r>
    </w:p>
    <w:p>
      <w:pPr>
        <w:pStyle w:val="Reference"/>
      </w:pPr>
      <w:r>
        <w:rPr>
          <w:b/>
        </w:rPr>
        <w:t>A8.</w:t>
      </w:r>
      <w:r>
        <w:rPr/>
        <w:t xml:space="preserve"> Irwin, M., Daniels, M., Smith, T. L., Bloom, E., &amp; Weiner, H. (1987). Impaired natural killer cell activity during bereavement. </w:t>
      </w:r>
      <w:r>
        <w:rPr>
          <w:i/>
        </w:rPr>
        <w:t>Brain, Behavior, and Immunity, 1</w:t>
      </w:r>
      <w:r>
        <w:rPr/>
        <w:t xml:space="preserve">, 98–104. </w:t>
      </w:r>
      <w:hyperlink r:id="rId102">
        <w:r>
          <w:rPr>
            <w:color w:val="000000"/>
            <w:u w:val="single"/>
          </w:rPr>
          <w:t xml:space="preserve">Publisher abstract</w:t>
        </w:r>
      </w:hyperlink>
      <w:r>
        <w:rPr/>
        <w:t xml:space="preserve">. </w:t>
      </w:r>
      <w:hyperlink r:id="rId103">
        <w:r>
          <w:rPr>
            <w:color w:val="000000"/>
            <w:u w:val="single"/>
          </w:rPr>
          <w:t xml:space="preserve">DOI</w:t>
        </w:r>
      </w:hyperlink>
      <w:r>
        <w:rPr/>
        <w:t>.</w:t>
      </w:r>
    </w:p>
    <w:p>
      <w:pPr>
        <w:pStyle w:val="Reference"/>
      </w:pPr>
      <w:r>
        <w:rPr>
          <w:b/>
        </w:rPr>
        <w:t>A9.</w:t>
      </w:r>
      <w:r>
        <w:rPr/>
        <w:t xml:space="preserve"> Reynolds, C. F., III, et al. (1993). Sleep after spousal bereavement: a study of recovery from stress. </w:t>
      </w:r>
      <w:r>
        <w:rPr>
          <w:i/>
        </w:rPr>
        <w:t>Biological Psychiatry, 34</w:t>
      </w:r>
      <w:r>
        <w:rPr/>
        <w:t xml:space="preserve">, 791–797. </w:t>
      </w:r>
      <w:hyperlink r:id="rId104">
        <w:r>
          <w:rPr>
            <w:color w:val="000000"/>
            <w:u w:val="single"/>
          </w:rPr>
          <w:t xml:space="preserve">Primary abstract</w:t>
        </w:r>
      </w:hyperlink>
      <w:r>
        <w:rPr/>
        <w:t xml:space="preserve">. </w:t>
      </w:r>
      <w:hyperlink r:id="rId105">
        <w:r>
          <w:rPr>
            <w:color w:val="000000"/>
            <w:u w:val="single"/>
          </w:rPr>
          <w:t xml:space="preserve">DOI</w:t>
        </w:r>
      </w:hyperlink>
      <w:r>
        <w:rPr/>
        <w:t>.</w:t>
      </w:r>
    </w:p>
    <w:p>
      <w:pPr>
        <w:pStyle w:val="Reference"/>
      </w:pPr>
      <w:r>
        <w:rPr>
          <w:b/>
        </w:rPr>
        <w:t>A10.</w:t>
      </w:r>
      <w:r>
        <w:rPr/>
        <w:t xml:space="preserve"> Elwert, F., &amp; Christakis, N. A. (2008). The effect of widowhood on mortality by the causes of death of both spouses. </w:t>
      </w:r>
      <w:r>
        <w:rPr>
          <w:i/>
        </w:rPr>
        <w:t>American Journal of Public Health, 98</w:t>
      </w:r>
      <w:r>
        <w:rPr/>
        <w:t xml:space="preserve">, 2092–2098. </w:t>
      </w:r>
      <w:hyperlink r:id="rId106">
        <w:r>
          <w:rPr>
            <w:color w:val="000000"/>
            <w:u w:val="single"/>
          </w:rPr>
          <w:t xml:space="preserve">DOI</w:t>
        </w:r>
      </w:hyperlink>
      <w:r>
        <w:rPr/>
        <w:t xml:space="preserve">. </w:t>
      </w:r>
      <w:hyperlink r:id="rId107">
        <w:r>
          <w:rPr>
            <w:color w:val="000000"/>
            <w:u w:val="single"/>
          </w:rPr>
          <w:t xml:space="preserve">Author manuscript titled Variation in the Effect of Widowhood on Mortality by the Causes of Death of Both Spouses</w:t>
        </w:r>
      </w:hyperlink>
      <w:r>
        <w:rPr/>
        <w:t>.</w:t>
      </w:r>
    </w:p>
    <w:p>
      <w:pPr>
        <w:pStyle w:val="Reference"/>
      </w:pPr>
      <w:r>
        <w:rPr>
          <w:b/>
        </w:rPr>
        <w:t>A11.</w:t>
      </w:r>
      <w:r>
        <w:rPr/>
        <w:t xml:space="preserve"> Huang, F.-Y., Hsu, A.-L., Chao, Y.-P., Shang, C. M.-H., Tsai, J.-S., &amp; Wu, C. W. (2021; online 17 October 2020). Mindfulness-based cognitive therapy on bereavement grief: Alterations of resting-state network connectivity associate with changes of anxiety and mindfulness. </w:t>
      </w:r>
      <w:r>
        <w:rPr>
          <w:i/>
        </w:rPr>
        <w:t>Human Brain Mapping, 42</w:t>
      </w:r>
      <w:r>
        <w:rPr/>
        <w:t xml:space="preserve">, 510–520. </w:t>
      </w:r>
      <w:hyperlink r:id="rId108">
        <w:r>
          <w:rPr>
            <w:color w:val="000000"/>
            <w:u w:val="single"/>
          </w:rPr>
          <w:t xml:space="preserve">Primary full text</w:t>
        </w:r>
      </w:hyperlink>
      <w:r>
        <w:rPr/>
        <w:t>.</w:t>
      </w:r>
    </w:p>
    <w:p>
      <w:pPr>
        <w:pStyle w:val="Reference"/>
      </w:pPr>
      <w:r>
        <w:rPr>
          <w:b/>
        </w:rPr>
        <w:t>A12.</w:t>
      </w:r>
      <w:r>
        <w:rPr/>
        <w:t xml:space="preserve"> Majd, M., et al. (2024; online 5 November 2023). Trajectories of depressive symptoms early in the course of bereavement: Patterns, psychosocial factors and risk of prolonged grief. </w:t>
      </w:r>
      <w:r>
        <w:rPr>
          <w:i/>
        </w:rPr>
        <w:t>Stress and Health, 40</w:t>
      </w:r>
      <w:r>
        <w:rPr/>
        <w:t xml:space="preserve">, e3340. </w:t>
      </w:r>
      <w:hyperlink r:id="rId109">
        <w:r>
          <w:rPr>
            <w:color w:val="000000"/>
            <w:u w:val="single"/>
          </w:rPr>
          <w:t xml:space="preserve">Primary manuscript</w:t>
        </w:r>
      </w:hyperlink>
      <w:r>
        <w:rPr/>
        <w:t xml:space="preserve">. </w:t>
      </w:r>
      <w:hyperlink r:id="rId110">
        <w:r>
          <w:rPr>
            <w:color w:val="000000"/>
            <w:u w:val="single"/>
          </w:rPr>
          <w:t xml:space="preserve">DOI</w:t>
        </w:r>
      </w:hyperlink>
      <w:r>
        <w:rPr/>
        <w:t>.</w:t>
      </w:r>
    </w:p>
    <w:p>
      <w:pPr>
        <w:pStyle w:val="Reference"/>
      </w:pPr>
      <w:r>
        <w:rPr>
          <w:b/>
        </w:rPr>
        <w:t>A13.</w:t>
      </w:r>
      <w:r>
        <w:rPr/>
        <w:t xml:space="preserve"> Harrison, O., Windmann, S., Rosner, R., &amp; Steil, R. (2022; online 25 November 2021). Inclusion of the other in the self as a potential risk factor for prolonged grief disorder: A comparison of patients with matched bereaved healthy controls. </w:t>
      </w:r>
      <w:r>
        <w:rPr>
          <w:i/>
        </w:rPr>
        <w:t>Clinical Psychology &amp; Psychotherapy, 29</w:t>
      </w:r>
      <w:r>
        <w:rPr/>
        <w:t xml:space="preserve">, 1101–1112. </w:t>
      </w:r>
      <w:hyperlink r:id="rId58">
        <w:r>
          <w:rPr>
            <w:color w:val="000000"/>
            <w:u w:val="single"/>
          </w:rPr>
          <w:t xml:space="preserve">Primary full text</w:t>
        </w:r>
      </w:hyperlink>
      <w:r>
        <w:rPr/>
        <w:t>.</w:t>
      </w:r>
    </w:p>
    <w:p>
      <w:pPr>
        <w:pStyle w:val="Reference"/>
      </w:pPr>
      <w:r>
        <w:rPr>
          <w:b/>
        </w:rPr>
        <w:t>A14.</w:t>
      </w:r>
      <w:r>
        <w:rPr/>
        <w:t xml:space="preserve"> Tsai, W.-I., Wen, F.-H., Kuo, S.-C., Prigerson, H. G., Chou, W.-C., Shen, W.-C., &amp; Tang, S. T. (2020). Symptoms of prolonged grief and major depressive disorders: Distinctiveness and temporal relationship in the first 2 years of bereavement for family caregivers of terminally ill cancer patients. </w:t>
      </w:r>
      <w:r>
        <w:rPr>
          <w:i/>
        </w:rPr>
        <w:t>Psycho-Oncology, 29</w:t>
      </w:r>
      <w:r>
        <w:rPr/>
        <w:t xml:space="preserve">, 751–758. </w:t>
      </w:r>
      <w:hyperlink r:id="rId111">
        <w:r>
          <w:rPr>
            <w:color w:val="000000"/>
            <w:u w:val="single"/>
          </w:rPr>
          <w:t xml:space="preserve">Primary abstract</w:t>
        </w:r>
      </w:hyperlink>
      <w:r>
        <w:rPr/>
        <w:t xml:space="preserve">. </w:t>
      </w:r>
      <w:hyperlink r:id="rId112">
        <w:r>
          <w:rPr>
            <w:color w:val="000000"/>
            <w:u w:val="single"/>
          </w:rPr>
          <w:t xml:space="preserve">DOI</w:t>
        </w:r>
      </w:hyperlink>
      <w:r>
        <w:rPr/>
        <w:t>.</w:t>
      </w:r>
    </w:p>
    <w:p>
      <w:pPr>
        <w:pStyle w:val="Reference"/>
      </w:pPr>
      <w:r>
        <w:rPr>
          <w:b/>
        </w:rPr>
        <w:t>A15.</w:t>
      </w:r>
      <w:r>
        <w:rPr/>
        <w:t xml:space="preserve"> Hopf, D., Eckstein, M., Aguilar-Raab, C., Warth, M., &amp; Ditzen, B. (2020). Neuroendocrine mechanisms of grief and bereavement: A systematic review and implications for future interventions. </w:t>
      </w:r>
      <w:r>
        <w:rPr>
          <w:i/>
        </w:rPr>
        <w:t>Journal of Neuroendocrinology, 32</w:t>
      </w:r>
      <w:r>
        <w:rPr/>
        <w:t xml:space="preserve">, e12887. </w:t>
      </w:r>
      <w:hyperlink r:id="rId113">
        <w:r>
          <w:rPr>
            <w:color w:val="000000"/>
            <w:u w:val="single"/>
          </w:rPr>
          <w:t xml:space="preserve">Review full text</w:t>
        </w:r>
      </w:hyperlink>
      <w:r>
        <w:rPr/>
        <w:t>. This original citation is secondary evidence, not an additional primary experiment.</w:t>
      </w:r>
    </w:p>
    <w:p>
      <w:pPr>
        <w:pStyle w:val="Reference"/>
      </w:pPr>
      <w:r>
        <w:rPr>
          <w:b/>
        </w:rPr>
        <w:t>A16.</w:t>
      </w:r>
      <w:r>
        <w:rPr/>
        <w:t xml:space="preserve"> Markovic, J. (2024; online 2 June 2023). Transformative grief. </w:t>
      </w:r>
      <w:r>
        <w:rPr>
          <w:i/>
        </w:rPr>
        <w:t>European Journal of Philosophy, 32</w:t>
      </w:r>
      <w:r>
        <w:rPr/>
        <w:t xml:space="preserve">, 246–259. </w:t>
      </w:r>
      <w:hyperlink r:id="rId114">
        <w:r>
          <w:rPr>
            <w:color w:val="000000"/>
            <w:u w:val="single"/>
          </w:rPr>
          <w:t xml:space="preserve">Original philosophical article</w:t>
        </w:r>
      </w:hyperlink>
      <w:r>
        <w:rPr/>
        <w:t>.</w:t>
      </w:r>
    </w:p>
    <w:p>
      <w:pPr>
        <w:pStyle w:val="Reference"/>
      </w:pPr>
      <w:r>
        <w:rPr>
          <w:b/>
        </w:rPr>
        <w:t>A17.</w:t>
      </w:r>
      <w:r>
        <w:rPr/>
        <w:t xml:space="preserve"> Maccallum, F., &amp; Bryant, R. A. (2013). A Cognitive Attachment Model of prolonged grief: Integrating attachments, memory, and identity. </w:t>
      </w:r>
      <w:r>
        <w:rPr>
          <w:i/>
        </w:rPr>
        <w:t>Clinical Psychology Review, 33</w:t>
      </w:r>
      <w:r>
        <w:rPr/>
        <w:t xml:space="preserve">, 713–727. </w:t>
      </w:r>
      <w:hyperlink r:id="rId115">
        <w:r>
          <w:rPr>
            <w:color w:val="000000"/>
            <w:u w:val="single"/>
          </w:rPr>
          <w:t xml:space="preserve">Original model and review</w:t>
        </w:r>
      </w:hyperlink>
      <w:r>
        <w:rPr/>
        <w:t xml:space="preserve">. </w:t>
      </w:r>
      <w:hyperlink r:id="rId116">
        <w:r>
          <w:rPr>
            <w:color w:val="000000"/>
            <w:u w:val="single"/>
          </w:rPr>
          <w:t xml:space="preserve">DOI</w:t>
        </w:r>
      </w:hyperlink>
      <w:r>
        <w:rPr/>
        <w:t>. Cited for the existence of a prior mechanistic proposal, not as primary experimental confirmation.</w:t>
      </w:r>
    </w:p>
    <w:p>
      <w:pPr>
        <w:pStyle w:val="Reference"/>
      </w:pPr>
      <w:r>
        <w:rPr>
          <w:b/>
        </w:rPr>
        <w:t>A18.</w:t>
      </w:r>
      <w:r>
        <w:rPr/>
        <w:t xml:space="preserve"> Shannon, C. E. (1948). A Mathematical Theory of Communication. </w:t>
      </w:r>
      <w:r>
        <w:rPr>
          <w:i/>
        </w:rPr>
        <w:t>Bell System Technical Journal, 27</w:t>
      </w:r>
      <w:r>
        <w:rPr/>
        <w:t xml:space="preserve">, 379–423, 623–656. </w:t>
      </w:r>
      <w:hyperlink r:id="rId49">
        <w:r>
          <w:rPr>
            <w:color w:val="000000"/>
            <w:u w:val="single"/>
          </w:rPr>
          <w:t xml:space="preserve">Part I DOI</w:t>
        </w:r>
      </w:hyperlink>
      <w:r>
        <w:rPr/>
        <w:t xml:space="preserve">. </w:t>
      </w:r>
      <w:hyperlink r:id="rId117">
        <w:r>
          <w:rPr>
            <w:color w:val="000000"/>
            <w:u w:val="single"/>
          </w:rPr>
          <w:t xml:space="preserve">Primary article reprint</w:t>
        </w:r>
      </w:hyperlink>
      <w:r>
        <w:rPr/>
        <w:t>.</w:t>
      </w:r>
    </w:p>
    <w:p>
      <w:pPr>
        <w:pStyle w:val="Reference"/>
      </w:pPr>
      <w:r>
        <w:rPr>
          <w:b/>
        </w:rPr>
        <w:t>A19.</w:t>
      </w:r>
      <w:r>
        <w:rPr/>
        <w:t xml:space="preserve"> Parkes, C. M. (1971). Psycho-social transitions: A field for study. </w:t>
      </w:r>
      <w:r>
        <w:rPr>
          <w:i/>
        </w:rPr>
        <w:t>Social Science &amp; Medicine, 5</w:t>
      </w:r>
      <w:r>
        <w:rPr/>
        <w:t xml:space="preserve">, 101–115. </w:t>
      </w:r>
      <w:hyperlink r:id="rId118">
        <w:r>
          <w:rPr>
            <w:color w:val="000000"/>
            <w:u w:val="single"/>
          </w:rPr>
          <w:t xml:space="preserve">Publisher abstract</w:t>
        </w:r>
      </w:hyperlink>
      <w:r>
        <w:rPr/>
        <w:t xml:space="preserve">. </w:t>
      </w:r>
      <w:hyperlink r:id="rId119">
        <w:r>
          <w:rPr>
            <w:color w:val="000000"/>
            <w:u w:val="single"/>
          </w:rPr>
          <w:t xml:space="preserve">DOI</w:t>
        </w:r>
      </w:hyperlink>
      <w:r>
        <w:rPr/>
        <w:t>.</w:t>
      </w:r>
    </w:p>
    <w:p>
      <w:pPr>
        <w:pStyle w:val="Reference"/>
      </w:pPr>
      <w:r>
        <w:rPr>
          <w:b/>
        </w:rPr>
        <w:t>A20.</w:t>
      </w:r>
      <w:r>
        <w:rPr/>
        <w:t xml:space="preserve"> Attig, T. (1996). </w:t>
      </w:r>
      <w:r>
        <w:rPr>
          <w:i/>
        </w:rPr>
        <w:t>How We Grieve: Relearning the World</w:t>
      </w:r>
      <w:r>
        <w:rPr/>
        <w:t xml:space="preserve">. Oxford University Press. </w:t>
      </w:r>
      <w:hyperlink r:id="rId120">
        <w:r>
          <w:rPr>
            <w:color w:val="000000"/>
            <w:u w:val="single"/>
          </w:rPr>
          <w:t xml:space="preserve">Publisher book record and abstract</w:t>
        </w:r>
      </w:hyperlink>
      <w:r>
        <w:rPr/>
        <w:t xml:space="preserve">. </w:t>
      </w:r>
      <w:hyperlink r:id="rId121">
        <w:r>
          <w:rPr>
            <w:color w:val="000000"/>
            <w:u w:val="single"/>
          </w:rPr>
          <w:t xml:space="preserve">Chapter 4 abstract</w:t>
        </w:r>
      </w:hyperlink>
      <w:r>
        <w:rPr/>
        <w:t>. Conceptual antecedent; the full book was not accessible in this pass.</w:t>
      </w:r>
    </w:p>
    <w:p>
      <w:pPr>
        <w:pStyle w:val="Heading3"/>
      </w:pPr>
      <w:bookmarkStart w:id="193" w:name="v2_l717"/>
      <w:r>
        <w:rPr>
          <w:sz w:val="26"/>
        </w:rPr>
        <w:t>Source access record</w:t>
      </w:r>
      <w:bookmarkEnd w:id="193"/>
    </w:p>
    <w:p>
      <w:pPr>
        <w:pStyle w:val="Reference"/>
      </w:pPr>
      <w:r>
        <w:rPr/>
        <w:t>The definitive URLs are in references A1–A20 above. These are access and interpretation limits, not duplicate abstracts.</w:t>
      </w:r>
    </w:p>
    <w:p>
      <w:pPr>
        <w:pStyle w:val="ListBullet"/>
      </w:pPr>
      <w:r>
        <w:rPr>
          <w:b/>
        </w:rPr>
        <w:t>A1:</w:t>
      </w:r>
      <w:r>
        <w:rPr/>
        <w:t xml:space="preserve"> Primary PDF text from author/publisher-indexed extraction, including Methods and exclusions; 94 recruited versus 90 analyzed. A subsequent direct host request timed out. The scope is task-specific and observational.</w:t>
      </w:r>
    </w:p>
    <w:p>
      <w:pPr>
        <w:pStyle w:val="ListBullet"/>
      </w:pPr>
      <w:r>
        <w:rPr>
          <w:b/>
        </w:rPr>
        <w:t>A2:</w:t>
      </w:r>
      <w:r>
        <w:rPr/>
        <w:t xml:space="preserve"> Author-hosted full primary PDF; Methods, Results and Discussion inspected. Its two-year follow-up strengthens temporal ordering, not proof of the framework's proposed mechanism. Skin conductance is measured in μS, not energy.</w:t>
      </w:r>
    </w:p>
    <w:p>
      <w:pPr>
        <w:pStyle w:val="ListBullet"/>
      </w:pPr>
      <w:r>
        <w:rPr>
          <w:b/>
        </w:rPr>
        <w:t>A3:</w:t>
      </w:r>
      <w:r>
        <w:rPr/>
        <w:t xml:space="preserve"> Publisher abstract and bibliographic record inspected; full PDF access blocked. Only the abstract-supported adult visuomotor-learning finding is used, with no cellular mechanism or therapy extrapolation.</w:t>
      </w:r>
    </w:p>
    <w:p>
      <w:pPr>
        <w:pStyle w:val="ListBullet"/>
      </w:pPr>
      <w:r>
        <w:rPr>
          <w:b/>
        </w:rPr>
        <w:t>A4:</w:t>
      </w:r>
      <w:r>
        <w:rPr/>
        <w:t xml:space="preserve"> Full primary paper via author-hosted PDF. Opposite-direction transfer entropy is discussed as a possible further semantic measure in Section 5.3; this is not represented as a completed human-relational application.</w:t>
      </w:r>
    </w:p>
    <w:p>
      <w:pPr>
        <w:pStyle w:val="ListBullet"/>
      </w:pPr>
      <w:r>
        <w:rPr>
          <w:b/>
        </w:rPr>
        <w:t>A5:</w:t>
      </w:r>
      <w:r>
        <w:rPr/>
        <w:t xml:space="preserve"> Scanned original primary article inspected. Used only to reject an automatic equation of named cognitive stages with physical erasure, not to claim biological brains run reversibly.</w:t>
      </w:r>
    </w:p>
    <w:p>
      <w:pPr>
        <w:pStyle w:val="ListBullet"/>
      </w:pPr>
      <w:r>
        <w:rPr>
          <w:b/>
        </w:rPr>
        <w:t>A6:</w:t>
      </w:r>
      <w:r>
        <w:rPr/>
        <w:t xml:space="preserve"> Institution-hosted full primary article, Methods/Results inspected. The source has timing and significance wording issues listed below. No concentration or slope effect size is imported into the chapter.</w:t>
      </w:r>
    </w:p>
    <w:p>
      <w:pPr>
        <w:pStyle w:val="ListBullet"/>
      </w:pPr>
      <w:r>
        <w:rPr>
          <w:b/>
        </w:rPr>
        <w:t>A7:</w:t>
      </w:r>
      <w:r>
        <w:rPr/>
        <w:t xml:space="preserve"> Primary abstract at PubMed and author-institution repository inspected. Full primary methods/tables were not available through the direct primary route. The control count is 52 women plus 27 men = 79, not 78. No abstract power value is interpreted as raw variance because transformation/unit details were not established here.</w:t>
      </w:r>
    </w:p>
    <w:p>
      <w:pPr>
        <w:pStyle w:val="ListBullet"/>
      </w:pPr>
      <w:r>
        <w:rPr>
          <w:b/>
        </w:rPr>
        <w:t>A8:</w:t>
      </w:r>
      <w:r>
        <w:rPr/>
        <w:t xml:space="preserve"> Publisher primary abstract inspected, including its second longitudinal component. No sample count or quantified immune effect is asserted because those details were not verified in full text.</w:t>
      </w:r>
    </w:p>
    <w:p>
      <w:pPr>
        <w:pStyle w:val="ListBullet"/>
      </w:pPr>
      <w:r>
        <w:rPr>
          <w:b/>
        </w:rPr>
        <w:t>A9:</w:t>
      </w:r>
      <w:r>
        <w:rPr/>
        <w:t xml:space="preserve"> Complete primary abstract inspected. This is a selected nondepressed older sample, not all bereavement. No treatment claim is made.</w:t>
      </w:r>
    </w:p>
    <w:p>
      <w:pPr>
        <w:pStyle w:val="ListBullet"/>
      </w:pPr>
      <w:r>
        <w:rPr>
          <w:b/>
        </w:rPr>
        <w:t>A10:</w:t>
      </w:r>
      <w:r>
        <w:rPr/>
        <w:t xml:space="preserve"> Primary author manuscript and abstract inspected for cohort, dates and observational scope. The manuscript title differs from the published title; both are identified in the references. No relative-risk number is used.</w:t>
      </w:r>
    </w:p>
    <w:p>
      <w:pPr>
        <w:pStyle w:val="ListBullet"/>
      </w:pPr>
      <w:r>
        <w:rPr>
          <w:b/>
        </w:rPr>
        <w:t>A11:</w:t>
      </w:r>
      <w:r>
        <w:rPr/>
        <w:t xml:space="preserve"> Publisher full text, recruitment/exclusions, final sample, imaging comparisons and limitations inspected. Original enrollment was 23, analysis 19; losses occurred 6 months–4 years earlier. No untreated or waiting-list control was included.</w:t>
      </w:r>
    </w:p>
    <w:p>
      <w:pPr>
        <w:pStyle w:val="ListBullet"/>
      </w:pPr>
      <w:r>
        <w:rPr>
          <w:b/>
        </w:rPr>
        <w:t>A12:</w:t>
      </w:r>
      <w:r>
        <w:rPr/>
        <w:t xml:space="preserve"> Full primary author manuscript, Methods, Tables 1–5, results and limitations inspected. Predominantly White and female, with health-related exclusions. Its 12-month prolonged-grief outcome is an ICG cutoff, not a fresh diagnostic interview; trajectory classification uses the final time point too. No clean prospective prediction from only baseline information is claimed.</w:t>
      </w:r>
    </w:p>
    <w:p>
      <w:pPr>
        <w:pStyle w:val="ListBullet"/>
      </w:pPr>
      <w:r>
        <w:rPr>
          <w:b/>
        </w:rPr>
        <w:t>A13:</w:t>
      </w:r>
      <w:r>
        <w:rPr/>
        <w:t xml:space="preserve"> Publisher full text, participant selection, IOS wording, Tables 2–4 and limitations inspected. Matching does not eliminate selection or reverse causation. Participants with PGD were recruited before treatment in a larger trial; this particular comparison is not a randomized treatment effect.</w:t>
      </w:r>
    </w:p>
    <w:p>
      <w:pPr>
        <w:pStyle w:val="ListBullet"/>
      </w:pPr>
      <w:r>
        <w:rPr>
          <w:b/>
        </w:rPr>
        <w:t>A14:</w:t>
      </w:r>
      <w:r>
        <w:rPr/>
        <w:t xml:space="preserve"> Full primary abstract inspected at PubMed/publisher; publisher full text returned 403. The abstract-level description of 398 caregivers and lagged symptom analyses is the limit used. No mechanism, intervention effect or universally necessary temporal sequence is inferred.</w:t>
      </w:r>
    </w:p>
    <w:p>
      <w:pPr>
        <w:pStyle w:val="ListBullet"/>
      </w:pPr>
      <w:r>
        <w:rPr>
          <w:b/>
        </w:rPr>
        <w:t>A15:</w:t>
      </w:r>
      <w:r>
        <w:rPr/>
        <w:t xml:space="preserve"> Original cited review full text inspected for proposed mechanisms and heterogeneous measurement. It is not counted as a new primary study.</w:t>
      </w:r>
    </w:p>
    <w:p>
      <w:pPr>
        <w:pStyle w:val="ListBullet"/>
      </w:pPr>
      <w:r>
        <w:rPr>
          <w:b/>
        </w:rPr>
        <w:t>A16:</w:t>
      </w:r>
      <w:r>
        <w:rPr/>
        <w:t xml:space="preserve"> Original philosophical full text inspected. Online-first 2023, issue 2024. It does not validate physiological or energy claims.</w:t>
      </w:r>
    </w:p>
    <w:p>
      <w:pPr>
        <w:pStyle w:val="ListBullet"/>
      </w:pPr>
      <w:r>
        <w:rPr>
          <w:b/>
        </w:rPr>
        <w:t>A17:</w:t>
      </w:r>
      <w:r>
        <w:rPr/>
        <w:t xml:space="preserve"> Publisher abstract/highlights inspected. Sufficient for identifying an existing cognitive-attachment mechanism proposal; no empirical effect is attributed to this conceptual/review article.</w:t>
      </w:r>
    </w:p>
    <w:p>
      <w:pPr>
        <w:pStyle w:val="ListBullet"/>
      </w:pPr>
      <w:r>
        <w:rPr>
          <w:b/>
        </w:rPr>
        <w:t>A18:</w:t>
      </w:r>
      <w:r>
        <w:rPr/>
        <w:t xml:space="preserve"> Primary article reprint inspected for joint/conditional entropy identities. Modern I notation is used with finite discrete variables and a fixed joint distribution.</w:t>
      </w:r>
    </w:p>
    <w:p>
      <w:pPr>
        <w:pStyle w:val="ListBullet"/>
      </w:pPr>
      <w:r>
        <w:rPr>
          <w:b/>
        </w:rPr>
        <w:t>A19:</w:t>
      </w:r>
      <w:r>
        <w:rPr/>
        <w:t xml:space="preserve"> Publisher primary abstract inspected. The original's unspecified Parkes 1988 citation could not be uniquely identified from its author-year alone and is not silently replaced by a guessed work. Only the verified 1971 reference is retained.</w:t>
      </w:r>
    </w:p>
    <w:p>
      <w:pPr>
        <w:pStyle w:val="ListBullet"/>
      </w:pPr>
      <w:r>
        <w:rPr>
          <w:b/>
        </w:rPr>
        <w:t>A20:</w:t>
      </w:r>
      <w:r>
        <w:rPr/>
        <w:t xml:space="preserve"> Publisher book and Chapter 4 abstracts inspected; full book inaccessible. Retained only as a named conceptual antecedent, not as a quoted passage or clinical conclusion.</w:t>
      </w:r>
    </w:p>
    <w:p>
      <w:pPr>
        <w:pStyle w:val="Heading3"/>
      </w:pPr>
      <w:bookmarkStart w:id="194" w:name="v2_l742"/>
      <w:r>
        <w:rPr>
          <w:sz w:val="26"/>
        </w:rPr>
        <w:t>Unresolved discrepancies not silently repaired</w:t>
      </w:r>
      <w:bookmarkEnd w:id="194"/>
    </w:p>
    <w:p>
      <w:pPr>
        <w:pStyle w:val="Reference"/>
      </w:pPr>
      <w:r>
        <w:rPr>
          <w:b/>
        </w:rPr>
        <w:t>Harrison A13:</w:t>
      </w:r>
      <w:r>
        <w:rPr/>
        <w:t xml:space="preserve"> Section 3.3 prose reports 2.59 with interval 1.57–4.28, while Table 4 gives IOS-D B = 0.88, Exp(B) = 2.40 and interval 1.46–3.96. The prose labels its 2.59 as b, although its interval appears odds-ratio-like. No odds ratio is used in the replacement; resolving the discrepancy would require clarification beyond this pass. The association itself is not relabeled causation.</w:t>
      </w:r>
    </w:p>
    <w:p>
      <w:pPr>
        <w:pStyle w:val="Reference"/>
      </w:pPr>
      <w:r>
        <w:rPr>
          <w:b/>
        </w:rPr>
        <w:t>O'Connor A6:</w:t>
      </w:r>
      <w:r>
        <w:rPr/>
        <w:t xml:space="preserve"> The abstract says loss in the past 18 months; Methods says mother/sister breast-cancer death within five years. The chapter omits the disputed window and follows the Methods' relationship/cause scope. The Results also use significance language near the 4 p.m. comparison while reporting p = .08; this is not presented as significant. The retained finding is the group-by-time pattern, not universal cortisol elevation.</w:t>
      </w:r>
    </w:p>
    <w:p>
      <w:pPr>
        <w:pStyle w:val="Reference"/>
      </w:pPr>
      <w:r>
        <w:rPr>
          <w:b/>
        </w:rPr>
        <w:t>Majd A12:</w:t>
      </w:r>
      <w:r>
        <w:rPr/>
        <w:t xml:space="preserve"> The abstract/results report trajectory percentages 45/31/15/9. Table 1 gives counts 78/56/25/16, total 175, which imply 44.57/32.00/14.29/9.14%. The middle percentages are not ordinary whole-number rounding of those counts. The replacement omits percentages rather than inventing a corrected authoritative estimate. The original values remain in the exact ledger. Counts and reported percentages are separately preserved in the underlying calculation record.</w:t>
      </w:r>
    </w:p>
    <w:p>
      <w:pPr>
        <w:pStyle w:val="Reference"/>
      </w:pPr>
      <w:r>
        <w:rPr/>
        <w:t>No full patient data, individual records, supplementary raw data or reanalysis were obtained. These discrepancies do not by themselves invalidate an entire study; they limit which numerical statements this revision can safely carry forward.</w:t>
      </w:r>
    </w:p>
    <w:p>
      <w:pPr>
        <w:pStyle w:val="Reference"/>
      </w:pPr>
      <w:r>
        <w:rPr/>
        <w:t>The source review was targeted to the volume’s claims, not a systematic review of biology or bereavement. Some historical references were available only as abstracts, theoretical works or reviews. Separate AI critique is not human peer review or experimental validation.</w:t>
      </w:r>
    </w:p>
    <w:p>
      <w:pPr>
        <w:pStyle w:val="Heading1"/>
        <w:pageBreakBefore/>
        <w:spacing w:before="2000"/>
        <w:jc w:val="center"/>
      </w:pPr>
      <w:bookmarkStart w:id="195" w:name="v3_l1"/>
      <w:r>
        <w:rPr>
          <w:sz w:val="50"/>
        </w:rPr>
        <w:t>Entropy Volume 3</w:t>
      </w:r>
      <w:bookmarkEnd w:id="195"/>
    </w:p>
    <w:p>
      <w:pPr>
        <w:pStyle w:val="Subtitle"/>
      </w:pPr>
      <w:bookmarkStart w:id="196" w:name="v3_l3"/>
      <w:r>
        <w:t>The Progression</w:t>
      </w:r>
      <w:bookmarkEnd w:id="196"/>
    </w:p>
    <w:p>
      <w:pPr>
        <w:pStyle w:val="BookMetadata"/>
      </w:pPr>
      <w:r>
        <w:rPr/>
        <w:t>Second edition</w:t>
      </w:r>
    </w:p>
    <w:p>
      <w:pPr>
        <w:pStyle w:val="BookMetadata"/>
      </w:pPr>
      <w:r>
        <w:rPr/>
        <w:t>Michael S. Moniz</w:t>
      </w:r>
    </w:p>
    <w:p>
      <w:pPr>
        <w:pStyle w:val="BookMetadata"/>
      </w:pPr>
      <w:r>
        <w:rPr/>
        <w:t>Trinket Soul Framework</w:t>
      </w:r>
    </w:p>
    <w:p>
      <w:pPr>
        <w:pStyle w:val="BookMetadata"/>
      </w:pPr>
      <w:r>
        <w:rPr/>
        <w:t>October 2026</w:t>
      </w:r>
    </w:p>
    <w:p>
      <w:pPr>
        <w:pStyle w:val="Heading2"/>
        <w:pageBreakBefore/>
        <w:spacing w:before="280" w:after="220"/>
      </w:pPr>
      <w:bookmarkStart w:id="197" w:name="v3_l13"/>
      <w:r>
        <w:rPr>
          <w:sz w:val="36"/>
        </w:rPr>
        <w:t>About this volume</w:t>
      </w:r>
      <w:bookmarkEnd w:id="197"/>
    </w:p>
    <w:p>
      <w:pPr/>
      <w:r>
        <w:rPr/>
        <w:t>This volume examines how physical constraints and history shape the emergence of systems capable of connection. A selected sequence from atoms to AI does not demonstrate a universal rise in entropy production or a physical preference for relational complexity. Energy throughput, entropy production, prediction and meaning require distinct accounts.</w:t>
      </w:r>
    </w:p>
    <w:p>
      <w:pPr/>
      <w:r>
        <w:rPr/>
        <w:t>Reference groups P and Q are local to this volume. Calculations and historical comparisons retain their stated accounting boundaries; they are not universal constants or a ranking of the worth of systems.</w:t>
      </w:r>
    </w:p>
    <w:p>
      <w:pPr>
        <w:pStyle w:val="Heading3"/>
      </w:pPr>
      <w:bookmarkStart w:id="198" w:name="v3_l19"/>
      <w:r>
        <w:rPr>
          <w:sz w:val="26"/>
        </w:rPr>
        <w:t>Edition and attribution</w:t>
      </w:r>
      <w:bookmarkEnd w:id="198"/>
    </w:p>
    <w:p>
      <w:pPr/>
      <w:r>
        <w:rPr/>
        <w:t>The six original chapters credit Michael S. Moniz with Sigma, Deep Floor v4.0, and carry March 22, 2026. This edition follows the fuller six-chapter branch. A separate structural revision package and an earlier one-chapter draft were assessed as distinct witnesses, not silently merged.</w:t>
      </w:r>
    </w:p>
    <w:p>
      <w:pPr/>
      <w:r>
        <w:rPr/>
        <w:t>The second-edition revision was prepared with AI assistance from CosmoDot, with separate AI scientific and editorial checks. It has not undergone human peer review and reports no new experiments. Historical AI collaborator labels document provenance; they do not identify underlying models or attribute the new text to those earlier collaborators. The framework’s proposed applications remain subject to specialist review and empirical testing.</w:t>
      </w:r>
    </w:p>
    <w:p>
      <w:pPr/>
      <w:r>
        <w:rPr/>
        <w:t xml:space="preserve">The </w:t>
      </w:r>
      <w:hyperlink r:id="rId122">
        <w:r>
          <w:rPr>
            <w:color w:val="000000"/>
            <w:u w:val="single"/>
          </w:rPr>
          <w:t xml:space="preserve">historical edition</w:t>
        </w:r>
      </w:hyperlink>
      <w:r>
        <w:rPr/>
        <w:t xml:space="preserve"> remains preserved. This text continues under </w:t>
      </w:r>
      <w:hyperlink r:id="rId10">
        <w:r>
          <w:rPr>
            <w:color w:val="000000"/>
            <w:u w:val="single"/>
          </w:rPr>
          <w:t xml:space="preserve">Creative Commons Attribution–NonCommercial–ShareAlike 4.0 International</w:t>
        </w:r>
      </w:hyperlink>
      <w:r>
        <w:rPr/>
        <w:t>. Detailed correction records are distinct from the reading text; publishing this volume does not silently amend the framework’s separate papers or complete its historical governance procedures.</w:t>
      </w:r>
    </w:p>
    <w:p>
      <w:pPr>
        <w:pStyle w:val="Heading2"/>
        <w:pageBreakBefore/>
        <w:spacing w:before="280" w:after="220"/>
      </w:pPr>
      <w:bookmarkStart w:id="199" w:name="v3_l31"/>
      <w:r>
        <w:rPr>
          <w:sz w:val="36"/>
        </w:rPr>
        <w:t>Chapter 1 The Problem</w:t>
      </w:r>
      <w:bookmarkEnd w:id="199"/>
    </w:p>
    <w:p>
      <w:pPr>
        <w:pStyle w:val="Heading3"/>
      </w:pPr>
      <w:bookmarkStart w:id="200" w:name="v3_l33"/>
      <w:r>
        <w:rPr>
          <w:sz w:val="26"/>
        </w:rPr>
        <w:t>A pattern that looks like a story</w:t>
      </w:r>
      <w:bookmarkEnd w:id="200"/>
    </w:p>
    <w:p>
      <w:pPr/>
      <w:r>
        <w:rPr/>
        <w:t>Epistemic status: this chapter frames a question, not a derived law of cosmic progress. Physical processes constrain the histories described here. A universal rise in complexity, entropy-production rate or relational capacity has not been established. The evidence and assumptions behind particular comparisons are examined in Chapters 2 and 3.</w:t>
      </w:r>
    </w:p>
    <w:p>
      <w:pPr>
        <w:pStyle w:val="Heading3"/>
      </w:pPr>
      <w:bookmarkStart w:id="201" w:name="v3_l37"/>
      <w:r>
        <w:rPr>
          <w:sz w:val="26"/>
        </w:rPr>
        <w:t>1 The selected sequence</w:t>
      </w:r>
      <w:bookmarkEnd w:id="201"/>
    </w:p>
    <w:p>
      <w:pPr/>
      <w:r>
        <w:rPr/>
        <w:t>Hydrogen. Stars. Chemistry. Cells. Multicellular organisms. Nervous systems. Language. Institutions. Computation. Artificial intelligence. Set beside one another, these examples invite a story about increasing complexity and the emergence of connection.</w:t>
      </w:r>
    </w:p>
    <w:p>
      <w:pPr/>
      <w:r>
        <w:rPr/>
        <w:t>The sequence is compelling. It is also selected. Its entries are not mutually exclusive stages through which all matter passes. Stars and microbes still exist alongside computers. Many histories do not include life, and many lineages do not include brains. Choosing examples that culminate in the narrator's present does not establish that the universe as a whole follows their trajectory.</w:t>
      </w:r>
    </w:p>
    <w:p>
      <w:pPr/>
      <w:r>
        <w:rPr/>
        <w:t>Even the proposed common measure needs inspection. Chaisson's energy rate density compares energy throughput per unit time and mass, expressed in watts per kilogram. That is a power-to-mass ratio. It is not an entropy-production rate. Inferring entropy production from power requires a physical account of the process, its boundaries and exchanges, not a change of label. A comparison also depends on which mass and energy flows are counted.</w:t>
      </w:r>
    </w:p>
    <w:p>
      <w:pPr/>
      <w:r>
        <w:rPr/>
        <w:t>The revised question is therefore narrower than the original claim that each layer spends entropy faster than the last. What do particular physical and historical comparisons support? Which differences are measured, which depend on modeling choices, and which are supplied by the story we tell about them?</w:t>
      </w:r>
    </w:p>
    <w:p>
      <w:pPr>
        <w:pStyle w:val="Heading3"/>
      </w:pPr>
      <w:bookmarkStart w:id="202" w:name="v3_l47"/>
      <w:r>
        <w:rPr>
          <w:sz w:val="26"/>
        </w:rPr>
        <w:t>2 Constraint is not an origin story</w:t>
      </w:r>
      <w:bookmarkEnd w:id="202"/>
    </w:p>
    <w:p>
      <w:pPr/>
      <w:r>
        <w:rPr/>
        <w:t>Thermodynamics matters to living and engineered systems. It constrains possible physical processes, and local organization must be considered together with the surroundings. Those constraints do not, by themselves, specify a bacterium, a brain, a relationship or an AI system. A physical mechanism needs more than compatibility with the second law.</w:t>
      </w:r>
    </w:p>
    <w:p>
      <w:pPr/>
      <w:r>
        <w:rPr/>
        <w:t>The same caution applies to the word “favored.” Replacing “inevitable” with “favored” does not complete an argument. Favored over which alternatives, under which dynamics, with what resources and over what time? A probability comparison established for one driven model cannot simply be carried across every scale in the sequence.</w:t>
      </w:r>
    </w:p>
    <w:p>
      <w:pPr/>
      <w:r>
        <w:rPr/>
        <w:t>Research on replication, driven self-organization, prediction and semantic information offers precise questions and some precise results. Chapter 2 examines their conditions. The framework may propose a relational application, but it must define that application rather than treat the scientific vocabulary as a completed derivation.</w:t>
      </w:r>
    </w:p>
    <w:p>
      <w:pPr/>
      <w:r>
        <w:rPr/>
        <w:t>This distinction leaves room for inquiry. We can ask how available resources, constraints, feedback and history affect the emergence and persistence of a specified system. We cannot infer a general physical preference for connection merely by observing that connection has physical implementations.</w:t>
      </w:r>
    </w:p>
    <w:p>
      <w:pPr>
        <w:pStyle w:val="Heading3"/>
      </w:pPr>
      <w:bookmarkStart w:id="203" w:name="v3_l57"/>
      <w:r>
        <w:rPr>
          <w:sz w:val="26"/>
        </w:rPr>
        <w:t>3 Purpose and explanation</w:t>
      </w:r>
      <w:bookmarkEnd w:id="203"/>
    </w:p>
    <w:p>
      <w:pPr/>
      <w:r>
        <w:rPr/>
        <w:t>One reading of the selected sequence assigns it a destination: life as the universe waking up, or AI as the next intended step. The physical findings reviewed here do not establish that reading. An account based on mechanisms and boundary conditions need not invoke cosmic intention.</w:t>
      </w:r>
    </w:p>
    <w:p>
      <w:pPr/>
      <w:r>
        <w:rPr/>
        <w:t>That is different from proving that the universe has no purpose. This volume does not possess an experiment or theorem that settles such a metaphysical question. It also need not classify every religious or philosophical tradition as making the same argument. The scientific task is to identify what an explanation requires and what its evidence supports.</w:t>
      </w:r>
    </w:p>
    <w:p>
      <w:pPr/>
      <w:r>
        <w:rPr/>
        <w:t>Carroll's emphasis on starting points is useful as a way to resist reading a future goal back into a past event. It is not a substitute for the dynamics of the event. An account can avoid teleology and still be physically wrong. A universal claim that complexity maximizes dissipation would need evidence even if its author explicitly denied any cosmic intention.</w:t>
      </w:r>
    </w:p>
    <w:p>
      <w:pPr/>
      <w:r>
        <w:rPr/>
        <w:t>The framework calls the risk of turning its descriptive language into an unquestioned cosmic narrative SupoRel. That concern remains important. Its practical test is not how often a warning appears, but whether the claims that follow the warning remain within their evidence.</w:t>
      </w:r>
    </w:p>
    <w:p>
      <w:pPr>
        <w:pStyle w:val="Heading3"/>
      </w:pPr>
      <w:bookmarkStart w:id="204" w:name="v3_l67"/>
      <w:r>
        <w:rPr>
          <w:sz w:val="26"/>
        </w:rPr>
        <w:t>4 What the six chapters will do</w:t>
      </w:r>
      <w:bookmarkEnd w:id="204"/>
    </w:p>
    <w:p>
      <w:pPr/>
      <w:r>
        <w:rPr/>
        <w:t>Chapter 2 separates the adjacent research programs and the quantities they actually define. Their results do not become one theorem merely because they can be placed in one diagram.</w:t>
      </w:r>
    </w:p>
    <w:p>
      <w:pPr/>
      <w:r>
        <w:rPr/>
        <w:t>Chapter 3 revisits the selected sequence from atoms to AI. It retains concrete observations while examining the proposed comparisons, the missing mechanisms and the limits of the frame-rate analogy. The seven gaps are used as questions to answer, not certificates that an answer is sound.</w:t>
      </w:r>
    </w:p>
    <w:p>
      <w:pPr/>
      <w:r>
        <w:rPr/>
        <w:t>Chapter 4 examines the star-as-host metaphor and the social analogies at the volume's most speculative edge. A memorable image can expose a question. It cannot supply a stellar feedback mechanism or turn conflict into a measured thermodynamic phase transition.</w:t>
      </w:r>
    </w:p>
    <w:p>
      <w:pPr/>
      <w:r>
        <w:rPr/>
        <w:t>Chapter 5 asks what a process with attractors would mean in a specified model. It distinguishes that technical use from a general suggestion that life, intelligence and connection occupy universal basins in a cosmic landscape.</w:t>
      </w:r>
    </w:p>
    <w:p>
      <w:pPr/>
      <w:r>
        <w:rPr/>
        <w:t>Chapter 6 traces the consequences for the framework's other claims. The revised Volumes 1, 2, 4 and 5 provide consistency within this collection, not independent evidence that its relational constructs have been validated. Dependent papers remain separate works and are not silently revised or cleared here.</w:t>
      </w:r>
    </w:p>
    <w:p>
      <w:pPr>
        <w:pStyle w:val="Heading3"/>
      </w:pPr>
      <w:bookmarkStart w:id="205" w:name="v3_l79"/>
      <w:r>
        <w:rPr>
          <w:sz w:val="26"/>
        </w:rPr>
        <w:t>What this chapter now claims</w:t>
      </w:r>
      <w:bookmarkEnd w:id="205"/>
    </w:p>
    <w:p>
      <w:pPr/>
      <w:r>
        <w:rPr/>
        <w:t>The cosmic context of connection remains worth investigating. The historical sequence does not yet establish a universal progression, a common relational expenditure or a thermodynamic reason that relational systems must—or generally should—arise.</w:t>
      </w:r>
    </w:p>
    <w:p>
      <w:pPr/>
      <w:r>
        <w:rPr/>
        <w:t>The work of this volume is to make the proposed bridges visible enough to test. Where a claim fails, the question can survive without the unsupported answer.</w:t>
      </w:r>
    </w:p>
    <w:p>
      <w:pPr>
        <w:pStyle w:val="Heading3"/>
      </w:pPr>
      <w:bookmarkStart w:id="206" w:name="v3_l85"/>
      <w:r>
        <w:rPr>
          <w:sz w:val="26"/>
        </w:rPr>
        <w:t>Framework cross references</w:t>
      </w:r>
      <w:bookmarkEnd w:id="206"/>
    </w:p>
    <w:p>
      <w:pPr/>
      <w:r>
        <w:rPr/>
        <w:t>The original MEPP Assessment Note, WP-19 and Seven Categorical Gaps record the framework's earlier framing. Their internal tier assignments are historical judgments, not scientific consensus or permission to generalize a result. Chapters 2, 3 and 5 provide the external scientific references for the mechanisms discussed here.</w:t>
      </w:r>
    </w:p>
    <w:p>
      <w:pPr>
        <w:pStyle w:val="Heading2"/>
        <w:pageBreakBefore/>
        <w:spacing w:before="280" w:after="220"/>
      </w:pPr>
      <w:bookmarkStart w:id="207" w:name="v3_l89"/>
      <w:r>
        <w:rPr>
          <w:sz w:val="36"/>
        </w:rPr>
        <w:t>Chapter 2 The Adjacent Scholarship</w:t>
      </w:r>
      <w:bookmarkEnd w:id="207"/>
    </w:p>
    <w:p>
      <w:pPr/>
      <w:r>
        <w:rPr/>
        <w:t>Who Has Mapped This Territory</w:t>
      </w:r>
    </w:p>
    <w:p>
      <w:pPr/>
      <w:r>
        <w:rPr/>
        <w:t>Epistemic status: A survey of distinct research programs, not a statement of consensus around the framework. Mathematical results retain their assumptions; empirical findings retain their tested scope. The relational applications remain proposals. SupoRel applies before the synthesis, not only after it.</w:t>
      </w:r>
    </w:p>
    <w:p>
      <w:pPr>
        <w:pStyle w:val="Heading3"/>
      </w:pPr>
      <w:bookmarkStart w:id="208" w:name="v3_l95"/>
      <w:r>
        <w:rPr>
          <w:sz w:val="26"/>
        </w:rPr>
        <w:t>1 Four frameworks and a relational question</w:t>
      </w:r>
      <w:bookmarkEnd w:id="208"/>
    </w:p>
    <w:p>
      <w:pPr/>
      <w:r>
        <w:rPr/>
        <w:t>Four bodies of scholarship help formulate the questions this volume asks. They do not jointly establish the Trinket Soul Framework. Their variables, tasks, and system boundaries differ. Putting them beside one another can reveal a useful research question without supplying its answer.</w:t>
      </w:r>
    </w:p>
    <w:p>
      <w:pPr/>
      <w:r>
        <w:rPr/>
        <w:t>The question worth keeping is concrete: when a physically implemented system responds to another system, which information affects a specified outcome, and what resources does that response use? A relational application must define the outcome rather than assume that staying alive, maintaining a connection, predicting a signal, and dissipating energy are the same achievement.</w:t>
      </w:r>
    </w:p>
    <w:p>
      <w:pPr/>
      <w:r>
        <w:rPr/>
        <w:t>Carroll’s aphormeological framing supplies an early guard: explain a process through its prior conditions and dynamics rather than insert a future goal into the explanation. This is a discipline of causal interpretation, not independent evidence for a cosmic progression. Neither a pattern nor its physical description establishes what the universe intends. [P09]</w:t>
      </w:r>
    </w:p>
    <w:p>
      <w:pPr>
        <w:pStyle w:val="Heading3"/>
      </w:pPr>
      <w:bookmarkStart w:id="209" w:name="v3_l103"/>
      <w:r>
        <w:rPr>
          <w:sz w:val="26"/>
        </w:rPr>
        <w:t>2 Chaisson and the energy rate density comparison</w:t>
      </w:r>
      <w:bookmarkEnd w:id="209"/>
    </w:p>
    <w:p>
      <w:pPr/>
      <w:r>
        <w:rPr/>
        <w:t>Chaisson proposes energy rate density as a cross-domain complexity metric. For a stated energy throughput rate P and included mass M,</w:t>
      </w:r>
    </w:p>
    <w:p>
      <w:pPr>
        <w:pStyle w:val="Equation"/>
      </w:pPr>
      <m:oMathPara>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r>
            <m:rPr>
              <m:sty m:val="i"/>
            </m:rPr>
            <w:rPr>
              <w:rFonts w:ascii="Latin Modern Math" w:hAnsi="Latin Modern Math"/>
            </w:rPr>
            <m:t xml:space="preserve"> = </m:t>
          </m:r>
          <m:f>
            <m:num>
              <m:r>
                <m:rPr>
                  <m:sty m:val="i"/>
                </m:rPr>
                <w:rPr>
                  <w:rFonts w:ascii="Latin Modern Math" w:hAnsi="Latin Modern Math"/>
                </w:rPr>
                <m:t xml:space="preserve">P</m:t>
              </m:r>
            </m:num>
            <m:den>
              <m:r>
                <m:rPr>
                  <m:sty m:val="i"/>
                </m:rPr>
                <w:rPr>
                  <w:rFonts w:ascii="Latin Modern Math" w:hAnsi="Latin Modern Math"/>
                </w:rPr>
                <m:t xml:space="preserve">M</m:t>
              </m:r>
            </m:den>
          </m:f>
          <m:r>
            <m:rPr>
              <m:nor m:val="1"/>
              <m:sty m:val="p"/>
            </m:rPr>
            <w:rPr>
              <w:rFonts w:ascii="Latin Modern Math" w:hAnsi="Latin Modern Math"/>
            </w:rPr>
            <m:t xml:space="preserve">.</m:t>
          </m:r>
        </m:oMath>
      </m:oMathPara>
    </w:p>
    <w:p>
      <w:pPr/>
      <w:r>
        <w:rPr/>
        <w:t>Its SI units are watts per kilogram. The conversion from the cgs units used in much of this literature is:</w:t>
      </w:r>
    </w:p>
    <w:p>
      <w:pPr>
        <w:pStyle w:val="Equation"/>
      </w:pPr>
      <m:oMathPara>
        <m:oMath>
          <m:r>
            <m:rPr>
              <m:nor m:val="1"/>
              <m:sty m:val="p"/>
            </m:rPr>
            <w:rPr>
              <w:rFonts w:ascii="Latin Modern Math" w:hAnsi="Latin Modern Math"/>
            </w:rPr>
            <m:t xml:space="preserve">1 erg </m:t>
          </m:r>
          <m:sSup>
            <m:e>
              <m:r>
                <m:rPr>
                  <m:nor m:val="1"/>
                  <m:sty m:val="p"/>
                </m:rPr>
                <w:rPr>
                  <w:rFonts w:ascii="Latin Modern Math" w:hAnsi="Latin Modern Math"/>
                </w:rPr>
                <m:t xml:space="preserve">s</m:t>
              </m:r>
            </m:e>
            <m:sup>
              <m:r>
                <m:rPr>
                  <m:nor m:val="1"/>
                  <m:sty m:val="p"/>
                </m:rPr>
                <w:rPr>
                  <w:rFonts w:ascii="Latin Modern Math" w:hAnsi="Latin Modern Math"/>
                </w:rPr>
                <m:t xml:space="preserve">-1</m:t>
              </m:r>
            </m:sup>
          </m:sSup>
          <m:r>
            <m:rPr>
              <m:nor m:val="1"/>
              <m:sty m:val="p"/>
            </m:rPr>
            <w:rPr>
              <w:rFonts w:ascii="Latin Modern Math" w:hAnsi="Latin Modern Math"/>
            </w:rPr>
            <m:t xml:space="preserve"> </m:t>
          </m:r>
          <m:sSup>
            <m:e>
              <m:r>
                <m:rPr>
                  <m:nor m:val="1"/>
                  <m:sty m:val="p"/>
                </m:rPr>
                <w:rPr>
                  <w:rFonts w:ascii="Latin Modern Math" w:hAnsi="Latin Modern Math"/>
                </w:rPr>
                <m:t xml:space="preserve">g</m:t>
              </m:r>
            </m:e>
            <m:sup>
              <m:r>
                <m:rPr>
                  <m:nor m:val="1"/>
                  <m:sty m:val="p"/>
                </m:rPr>
                <w:rPr>
                  <w:rFonts w:ascii="Latin Modern Math" w:hAnsi="Latin Modern Math"/>
                </w:rPr>
                <m:t xml:space="preserve">-1</m:t>
              </m:r>
            </m:sup>
          </m:sSup>
          <m:r>
            <m:rPr>
              <m:nor m:val="1"/>
              <m:sty m:val="p"/>
            </m:rPr>
            <w:rPr>
              <w:rFonts w:ascii="Latin Modern Math" w:hAnsi="Latin Modern Math"/>
            </w:rPr>
            <m:t xml:space="preserve"> = </m:t>
          </m:r>
          <m:sSup>
            <m:e>
              <m:r>
                <m:rPr>
                  <m:nor m:val="1"/>
                  <m:sty m:val="p"/>
                </m:rPr>
                <w:rPr>
                  <w:rFonts w:ascii="Latin Modern Math" w:hAnsi="Latin Modern Math"/>
                </w:rPr>
                <m:t xml:space="preserve">10</m:t>
              </m:r>
            </m:e>
            <m:sup>
              <m:r>
                <m:rPr>
                  <m:nor m:val="1"/>
                  <m:sty m:val="p"/>
                </m:rPr>
                <w:rPr>
                  <w:rFonts w:ascii="Latin Modern Math" w:hAnsi="Latin Modern Math"/>
                </w:rPr>
                <m:t xml:space="preserve">-4</m:t>
              </m:r>
            </m:sup>
          </m:sSup>
          <m:r>
            <m:rPr>
              <m:nor m:val="1"/>
              <m:sty m:val="p"/>
            </m:rPr>
            <w:rPr>
              <w:rFonts w:ascii="Latin Modern Math" w:hAnsi="Latin Modern Math"/>
            </w:rPr>
            <m:t xml:space="preserve"> W </m:t>
          </m:r>
          <m:sSup>
            <m:e>
              <m:r>
                <m:rPr>
                  <m:nor m:val="1"/>
                  <m:sty m:val="p"/>
                </m:rPr>
                <w:rPr>
                  <w:rFonts w:ascii="Latin Modern Math" w:hAnsi="Latin Modern Math"/>
                </w:rPr>
                <m:t xml:space="preserve">kg</m:t>
              </m:r>
            </m:e>
            <m:sup>
              <m:r>
                <m:rPr>
                  <m:nor m:val="1"/>
                  <m:sty m:val="p"/>
                </m:rPr>
                <w:rPr>
                  <w:rFonts w:ascii="Latin Modern Math" w:hAnsi="Latin Modern Math"/>
                </w:rPr>
                <m:t xml:space="preserve">-1</m:t>
              </m:r>
            </m:sup>
          </m:sSup>
          <m:r>
            <m:rPr>
              <m:nor m:val="1"/>
              <m:sty m:val="p"/>
            </m:rPr>
            <w:rPr>
              <w:rFonts w:ascii="Latin Modern Math" w:hAnsi="Latin Modern Math"/>
            </w:rPr>
            <m:t xml:space="preserve">.</m:t>
          </m:r>
        </m:oMath>
      </m:oMathPara>
    </w:p>
    <w:p>
      <w:pPr/>
      <w:r>
        <w:rPr/>
        <w:t>The following are rounded examples from Chaisson’s 2014 and 2015 accounts, not a new dataset or present-day estimates. [P01, P02]</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2592"/>
        <w:gridCol w:w="2304"/>
        <w:gridCol w:w="4464"/>
      </w:tblGrid>
      <w:tr>
        <w:trPr>
          <w:cantSplit/>
          <w:tblHeader w:val="true"/>
        </w:trPr>
        <w:tc>
          <w:tcPr>
            <w:tcW w:type="dxa" w:w="2592"/>
            <w:vAlign w:val="center"/>
            <w:shd w:fill="EDEDED"/>
          </w:tcPr>
          <w:p>
            <w:pPr>
              <w:pStyle w:val="BookTable"/>
              <w:keepNext/>
            </w:pPr>
            <w:r>
              <w:rPr>
                <w:b/>
              </w:rPr>
              <w:t>Specified example</w:t>
            </w:r>
          </w:p>
        </w:tc>
        <w:tc>
          <w:tcPr>
            <w:tcW w:type="dxa" w:w="2304"/>
            <w:vAlign w:val="center"/>
            <w:shd w:fill="EDEDED"/>
          </w:tcPr>
          <w:p>
            <w:pPr>
              <w:pStyle w:val="BookTable"/>
              <w:keepNext/>
            </w:pPr>
            <w:r>
              <w:rPr>
                <w:b/>
              </w:rPr>
              <w:t xml:space="preserve">Approximate </w:t>
            </w:r>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oMath>
          </w:p>
        </w:tc>
        <w:tc>
          <w:tcPr>
            <w:tcW w:type="dxa" w:w="4464"/>
            <w:vAlign w:val="center"/>
            <w:shd w:fill="EDEDED"/>
          </w:tcPr>
          <w:p>
            <w:pPr>
              <w:pStyle w:val="BookTable"/>
              <w:keepNext/>
            </w:pPr>
            <w:r>
              <w:rPr>
                <w:b/>
              </w:rPr>
              <w:t>Accounting boundary</w:t>
            </w:r>
          </w:p>
        </w:tc>
      </w:tr>
      <w:tr>
        <w:trPr>
          <w:cantSplit/>
        </w:trPr>
        <w:tc>
          <w:tcPr>
            <w:tcW w:type="dxa" w:w="2592"/>
            <w:vAlign w:val="center"/>
          </w:tcPr>
          <w:p>
            <w:pPr>
              <w:pStyle w:val="BookTable"/>
              <w:keepNext w:val="0"/>
            </w:pPr>
            <w:r>
              <w:rPr/>
              <w:t>Sun</w:t>
            </w:r>
          </w:p>
        </w:tc>
        <w:tc>
          <w:tcPr>
            <w:tcW w:type="dxa" w:w="2304"/>
            <w:vAlign w:val="center"/>
          </w:tcPr>
          <w:p>
            <w:pPr>
              <w:pStyle w:val="BookTable"/>
              <w:keepNext w:val="0"/>
            </w:pPr>
            <w:r>
              <w:rPr/>
              <w:t xml:space="preserve">2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-4</m:t>
                  </m:r>
                </m:sup>
              </m:sSup>
            </m:oMath>
            <w:r>
              <w:rPr/>
              <w:t xml:space="preserve"> W/kg</w:t>
            </w:r>
          </w:p>
        </w:tc>
        <w:tc>
          <w:tcPr>
            <w:tcW w:type="dxa" w:w="4464"/>
            <w:vAlign w:val="center"/>
          </w:tcPr>
          <w:p>
            <w:pPr>
              <w:pStyle w:val="BookTable"/>
              <w:keepNext w:val="0"/>
            </w:pPr>
            <w:r>
              <w:rPr/>
              <w:t>Luminosity divided by total solar mass</w:t>
            </w:r>
          </w:p>
        </w:tc>
      </w:tr>
      <w:tr>
        <w:trPr>
          <w:cantSplit/>
        </w:trPr>
        <w:tc>
          <w:tcPr>
            <w:tcW w:type="dxa" w:w="2592"/>
            <w:vAlign w:val="center"/>
          </w:tcPr>
          <w:p>
            <w:pPr>
              <w:pStyle w:val="BookTable"/>
              <w:keepNext w:val="0"/>
            </w:pPr>
            <w:r>
              <w:rPr/>
              <w:t>Adult human body</w:t>
            </w:r>
          </w:p>
        </w:tc>
        <w:tc>
          <w:tcPr>
            <w:tcW w:type="dxa" w:w="2304"/>
            <w:vAlign w:val="center"/>
          </w:tcPr>
          <w:p>
            <w:pPr>
              <w:pStyle w:val="BookTable"/>
              <w:keepNext w:val="0"/>
            </w:pPr>
            <w:r>
              <w:rPr/>
              <w:t>2 W/kg</w:t>
            </w:r>
          </w:p>
        </w:tc>
        <w:tc>
          <w:tcPr>
            <w:tcW w:type="dxa" w:w="4464"/>
            <w:vAlign w:val="center"/>
          </w:tcPr>
          <w:p>
            <w:pPr>
              <w:pStyle w:val="BookTable"/>
              <w:keepNext w:val="0"/>
            </w:pPr>
            <w:r>
              <w:rPr/>
              <w:t>Food-energy consumption divided by body mass</w:t>
            </w:r>
          </w:p>
        </w:tc>
      </w:tr>
      <w:tr>
        <w:trPr>
          <w:cantSplit/>
        </w:trPr>
        <w:tc>
          <w:tcPr>
            <w:tcW w:type="dxa" w:w="2592"/>
            <w:vAlign w:val="center"/>
          </w:tcPr>
          <w:p>
            <w:pPr>
              <w:pStyle w:val="BookTable"/>
              <w:keepNext w:val="0"/>
            </w:pPr>
            <w:r>
              <w:rPr/>
              <w:t>Adult human brain</w:t>
            </w:r>
          </w:p>
        </w:tc>
        <w:tc>
          <w:tcPr>
            <w:tcW w:type="dxa" w:w="2304"/>
            <w:vAlign w:val="center"/>
          </w:tcPr>
          <w:p>
            <w:pPr>
              <w:pStyle w:val="BookTable"/>
              <w:keepNext w:val="0"/>
            </w:pPr>
            <w:r>
              <w:rPr/>
              <w:t>15 W/kg</w:t>
            </w:r>
          </w:p>
        </w:tc>
        <w:tc>
          <w:tcPr>
            <w:tcW w:type="dxa" w:w="4464"/>
            <w:vAlign w:val="center"/>
          </w:tcPr>
          <w:p>
            <w:pPr>
              <w:pStyle w:val="BookTable"/>
              <w:keepNext w:val="0"/>
            </w:pPr>
            <w:r>
              <w:rPr/>
              <w:t>Approximately 20 W divided by approximately 1.35 kg</w:t>
            </w:r>
          </w:p>
        </w:tc>
      </w:tr>
      <w:tr>
        <w:trPr>
          <w:cantSplit/>
        </w:trPr>
        <w:tc>
          <w:tcPr>
            <w:tcW w:type="dxa" w:w="2592"/>
            <w:vAlign w:val="center"/>
          </w:tcPr>
          <w:p>
            <w:pPr>
              <w:pStyle w:val="BookTable"/>
              <w:keepNext w:val="0"/>
            </w:pPr>
            <w:r>
              <w:rPr/>
              <w:t>Human society in the cited account</w:t>
            </w:r>
          </w:p>
        </w:tc>
        <w:tc>
          <w:tcPr>
            <w:tcW w:type="dxa" w:w="2304"/>
            <w:vAlign w:val="center"/>
          </w:tcPr>
          <w:p>
            <w:pPr>
              <w:pStyle w:val="BookTable"/>
              <w:keepNext w:val="0"/>
            </w:pPr>
            <w:r>
              <w:rPr/>
              <w:t>50 W/kg</w:t>
            </w:r>
          </w:p>
        </w:tc>
        <w:tc>
          <w:tcPr>
            <w:tcW w:type="dxa" w:w="4464"/>
            <w:vAlign w:val="center"/>
          </w:tcPr>
          <w:p>
            <w:pPr>
              <w:pStyle w:val="BookTable"/>
              <w:keepNext w:val="0"/>
            </w:pPr>
            <w:r>
              <w:rPr/>
              <w:t>Aggregate energy use divided by human body mass, excluding infrastructure</w:t>
            </w:r>
          </w:p>
        </w:tc>
      </w:tr>
    </w:tbl>
    <w:p>
      <w:pPr>
        <w:spacing w:after="80" w:line="40" w:lineRule="exact"/>
      </w:pPr>
      <w:r>
        <w:rPr>
          <w:sz w:val="4"/>
        </w:rPr>
      </w:r>
    </w:p>
    <w:p>
      <w:pPr/>
      <w:r>
        <w:rPr/>
        <w:t xml:space="preserve">The original civilization value of </w:t>
      </w:r>
      <m:oMath>
        <m:sSup>
          <m:e>
            <m:r>
              <m:rPr>
                <m:nor m:val="1"/>
                <m:sty m:val="p"/>
              </m:rPr>
              <w:rPr>
                <w:rFonts w:ascii="Latin Modern Math" w:hAnsi="Latin Modern Math"/>
              </w:rPr>
              <m:t xml:space="preserve">10</m:t>
            </m:r>
          </m:e>
          <m:sup>
            <m:r>
              <m:rPr>
                <m:nor m:val="1"/>
                <m:sty m:val="p"/>
              </m:rPr>
              <w:rPr>
                <w:rFonts w:ascii="Latin Modern Math" w:hAnsi="Latin Modern Math"/>
              </w:rPr>
              <m:t xml:space="preserve">5</m:t>
            </m:r>
          </m:sup>
        </m:sSup>
      </m:oMath>
      <w:r>
        <w:rPr/>
        <w:t xml:space="preserve"> W/kg and brain value of </w:t>
      </w:r>
      <m:oMath>
        <m:sSup>
          <m:e>
            <m:r>
              <m:rPr>
                <m:nor m:val="1"/>
                <m:sty m:val="p"/>
              </m:rPr>
              <w:rPr>
                <w:rFonts w:ascii="Latin Modern Math" w:hAnsi="Latin Modern Math"/>
              </w:rPr>
              <m:t xml:space="preserve">10</m:t>
            </m:r>
          </m:e>
          <m:sup>
            <m:r>
              <m:rPr>
                <m:nor m:val="1"/>
                <m:sty m:val="p"/>
              </m:rPr>
              <w:rPr>
                <w:rFonts w:ascii="Latin Modern Math" w:hAnsi="Latin Modern Math"/>
              </w:rPr>
              <m:t xml:space="preserve">2</m:t>
            </m:r>
          </m:sup>
        </m:sSup>
      </m:oMath>
      <w:r>
        <w:rPr/>
        <w:t xml:space="preserve"> W/kg are not retained. More important than a repaired exponent is the boundary: the society estimate counts energy used through machines while excluding their mass. A comparison with a brain or a star therefore needs an argument for comparability, not just matching units.</w:t>
      </w:r>
    </w:p>
    <w:p>
      <w:pPr/>
      <w:r>
        <w:rPr/>
        <w:t xml:space="preserve">Energy rate density is not entropy production rate. Watts per kilogram and joules per kelvin per second are different dimensions. Even a mass-specific entropy production rate would still require the kelvin denominator. Temperature, energy quality, transfers, and the physical processes inside the chosen boundary matter; </w:t>
      </w:r>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oMath>
      <w:r>
        <w:rPr/>
        <w:t xml:space="preserve"> alone does not supply them. Chaisson’s own program distinguishes its energy metric from entropy production. [P02]</w:t>
      </w:r>
    </w:p>
    <w:p>
      <w:pPr/>
      <w:r>
        <w:rPr/>
        <w:t>What Chaisson provides is a quantitative comparison and a proposed interpretation of it. This chapter does not turn the proposed metric into an independent definition and then cite the resulting ranking as proof that complexity must rise. Nor does it infer that every lineage, every system, or the universe as a whole follows the selected sequence.</w:t>
      </w:r>
    </w:p>
    <w:p>
      <w:pPr/>
      <w:r>
        <w:rPr/>
        <w:t xml:space="preserve">TSF adds a question about function and relationship. A higher </w:t>
      </w:r>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oMath>
      <w:r>
        <w:rPr/>
        <w:t xml:space="preserve"> does not establish greater care, meaning, or relational benefit. The Trinket and the proposed transducer describe what the framework wants to investigate; they are not yet instruments for measuring what energy becomes when a system cares.</w:t>
      </w:r>
    </w:p>
    <w:p>
      <w:pPr>
        <w:pStyle w:val="Heading3"/>
      </w:pPr>
      <w:bookmarkStart w:id="210" w:name="v3_l130"/>
      <w:r>
        <w:rPr>
          <w:sz w:val="26"/>
        </w:rPr>
        <w:t>3 England and the constraints on driven organization</w:t>
      </w:r>
      <w:bookmarkEnd w:id="210"/>
    </w:p>
    <w:p>
      <w:pPr/>
      <w:r>
        <w:rPr/>
        <w:t>Two results must be separated. England’s 2013 self-replication paper derives a lower bound on heat released to a thermal bath, with terms for internal entropy and forward versus reverse transition probabilities. Its replication application connects the bound to growth and decay rates. It does not show that replication necessarily begins or that replicators dissipate more than every nonreplicator. [P03]</w:t>
      </w:r>
    </w:p>
    <w:p>
      <w:pPr/>
      <w:r>
        <w:rPr/>
        <w:t>Perunov, Marsland, and England’s 2016 adaptation paper analyzes relative outcome probabilities in specified driven stochastic dynamics. Dissipative history enters alongside other terms, including internal-entropy differences, reverse accessibility, and fluctuations. Its analytical examples motivate a broader hypothesis about driven organization; they do not establish a universal rule that the most complex or most dissipative state wins. [P04]</w:t>
      </w:r>
    </w:p>
    <w:p>
      <w:pPr/>
      <w:r>
        <w:rPr/>
        <w:t>Chvykov and colleagues provide a different, experimentally tested result in robotic active matter, alongside simulations. Their rattling measure describes disorder in a configuration’s driven response, estimated from a covariance matrix of short-time, rescaled configuration displacements. Lower rattling predicts higher steady-state probability in the studied settings. It is not the variance of entropy production. The theory uses assumptions about effectively random configuration dynamics and has identified limits. [P07]</w:t>
      </w:r>
    </w:p>
    <w:p>
      <w:pPr/>
      <w:r>
        <w:rPr/>
        <w:t>These distinctions matter to the proposed bridge. Neither a lower bound on replication heat nor a conditional account of driven self-organization derives the emergence of relational systems. Replacing “everything maximizes dissipation” with “everything stabilizes dissipation” would preserve the overreach under a new verb.</w:t>
      </w:r>
    </w:p>
    <w:p>
      <w:pPr/>
      <w:r>
        <w:rPr/>
        <w:t>The framework can ask how communication contributes to the maintenance or behavior of an already specified system. It cannot cite this scholarship as the thermodynamic reason why connection, grief, or the Trinket had to arise. Those applications require their own dynamics and evidence.</w:t>
      </w:r>
    </w:p>
    <w:p>
      <w:pPr>
        <w:pStyle w:val="Heading3"/>
      </w:pPr>
      <w:bookmarkStart w:id="211" w:name="v3_l142"/>
      <w:r>
        <w:rPr>
          <w:sz w:val="26"/>
        </w:rPr>
        <w:t>4 Kolchinsky and Wolpert and information that matters</w:t>
      </w:r>
      <w:bookmarkEnd w:id="211"/>
    </w:p>
    <w:p>
      <w:pPr/>
      <w:r>
        <w:rPr/>
        <w:t>Kolchinsky and Wolpert define semantic information through counterfactual interventions on system–environment correlations and their effects on a chosen viability measure at a chosen time. Their principal viability choice is negative system entropy:</w:t>
      </w:r>
    </w:p>
    <w:p>
      <w:pPr>
        <w:pStyle w:val="Equation"/>
      </w:pPr>
      <m:oMathPara>
        <m:oMath>
          <m:r>
            <m:rPr>
              <m:sty m:val="i"/>
            </m:rPr>
            <w:rPr>
              <w:rFonts w:ascii="Latin Modern Math" w:hAnsi="Latin Modern Math"/>
            </w:rPr>
            <m:t xml:space="preserve">V(</m:t>
          </m:r>
          <m:sSub>
            <m:e>
              <m:r>
                <m:rPr>
                  <m:sty m:val="i"/>
                </m:rPr>
                <w:rPr>
                  <w:rFonts w:ascii="Latin Modern Math" w:hAnsi="Latin Modern Math"/>
                </w:rPr>
                <m:t xml:space="preserve">p</m:t>
              </m:r>
            </m:e>
            <m:sub>
              <m:sSub>
                <m:e>
                  <m:r>
                    <m:rPr>
                      <m:sty m:val="i"/>
                    </m:rPr>
                    <w:rPr>
                      <w:rFonts w:ascii="Latin Modern Math" w:hAnsi="Latin Modern Math"/>
                    </w:rPr>
                    <m:t xml:space="preserve">X</m:t>
                  </m:r>
                </m:e>
                <m:sub>
                  <m:r>
                    <m:rPr>
                      <m:sty m:val="i"/>
                    </m:rPr>
                    <w:rPr>
                      <w:rFonts w:ascii="Latin Modern Math" w:hAnsi="Latin Modern Math"/>
                    </w:rPr>
                    <m:t xml:space="preserve">τ</m:t>
                  </m:r>
                </m:sub>
              </m:sSub>
            </m:sub>
          </m:sSub>
          <m:r>
            <m:rPr>
              <m:sty m:val="i"/>
            </m:rPr>
            <w:rPr>
              <w:rFonts w:ascii="Latin Modern Math" w:hAnsi="Latin Modern Math"/>
            </w:rPr>
            <m:t xml:space="preserve">) = −H(</m:t>
          </m:r>
          <m:sSub>
            <m:e>
              <m:r>
                <m:rPr>
                  <m:sty m:val="i"/>
                </m:rPr>
                <w:rPr>
                  <w:rFonts w:ascii="Latin Modern Math" w:hAnsi="Latin Modern Math"/>
                </w:rPr>
                <m:t xml:space="preserve">p</m:t>
              </m:r>
            </m:e>
            <m:sub>
              <m:sSub>
                <m:e>
                  <m:r>
                    <m:rPr>
                      <m:sty m:val="i"/>
                    </m:rPr>
                    <w:rPr>
                      <w:rFonts w:ascii="Latin Modern Math" w:hAnsi="Latin Modern Math"/>
                    </w:rPr>
                    <m:t xml:space="preserve">X</m:t>
                  </m:r>
                </m:e>
                <m:sub>
                  <m:r>
                    <m:rPr>
                      <m:sty m:val="i"/>
                    </m:rPr>
                    <w:rPr>
                      <w:rFonts w:ascii="Latin Modern Math" w:hAnsi="Latin Modern Math"/>
                    </w:rPr>
                    <m:t xml:space="preserve">τ</m:t>
                  </m:r>
                </m:sub>
              </m:sSub>
            </m:sub>
          </m:sSub>
          <m:r>
            <m:rPr>
              <m:sty m:val="i"/>
            </m:rPr>
            <w:rPr>
              <w:rFonts w:ascii="Latin Modern Math" w:hAnsi="Latin Modern Math"/>
            </w:rPr>
            <m:t xml:space="preserve">)</m:t>
          </m:r>
          <m:r>
            <m:rPr>
              <m:nor m:val="1"/>
              <m:sty m:val="p"/>
            </m:rPr>
            <w:rPr>
              <w:rFonts w:ascii="Latin Modern Math" w:hAnsi="Latin Modern Math"/>
            </w:rPr>
            <m:t xml:space="preserve">,</m:t>
          </m:r>
        </m:oMath>
      </m:oMathPara>
    </w:p>
    <w:p>
      <w:pPr/>
      <w:r>
        <w:rPr/>
        <w:t>where H is Shannon entropy, here in bits. A coarse-grained model also needs the internal entropies of its macrostates. Stored semantic information is the minimum retained mutual information, within the specified intervention family, that preserves the actual viability value. [P05]</w:t>
      </w:r>
    </w:p>
    <w:p>
      <w:pPr/>
      <w:r>
        <w:rPr/>
        <w:t xml:space="preserve">For positive initial mutual information </w:t>
      </w:r>
      <m:oMath>
        <m:sSub>
          <m:e>
            <m:r>
              <m:rPr>
                <m:sty m:val="i"/>
              </m:rPr>
              <w:rPr>
                <w:rFonts w:ascii="Latin Modern Math" w:hAnsi="Latin Modern Math"/>
              </w:rPr>
              <m:t xml:space="preserve">I</m:t>
            </m:r>
          </m:e>
          <m:sub>
            <m:r>
              <m:rPr>
                <m:nor m:val="1"/>
                <m:sty m:val="p"/>
              </m:rPr>
              <w:rPr>
                <w:rFonts w:ascii="Latin Modern Math" w:hAnsi="Latin Modern Math"/>
              </w:rPr>
              <m:t xml:space="preserve">0</m:t>
            </m:r>
          </m:sub>
        </m:sSub>
      </m:oMath>
      <w:r>
        <w:rPr/>
        <w:t>, their stored thermodynamic multiplier is:</w:t>
      </w:r>
    </w:p>
    <w:p>
      <w:pPr>
        <w:pStyle w:val="Equation"/>
      </w:pPr>
      <m:oMathPara>
        <m:oMath>
          <m:sSub>
            <m:e>
              <m:r>
                <m:rPr>
                  <m:sty m:val="i"/>
                </m:rPr>
                <w:rPr>
                  <w:rFonts w:ascii="Latin Modern Math" w:hAnsi="Latin Modern Math"/>
                </w:rPr>
                <m:t xml:space="preserve">κ</m:t>
              </m:r>
            </m:e>
            <m:sub>
              <m:r>
                <m:rPr>
                  <m:nor m:val="1"/>
                  <m:sty m:val="p"/>
                </m:rPr>
                <w:rPr>
                  <w:rFonts w:ascii="Latin Modern Math" w:hAnsi="Latin Modern Math"/>
                </w:rPr>
                <m:t xml:space="preserve">stored</m:t>
              </m:r>
            </m:sub>
          </m:sSub>
          <m:r>
            <m:rPr>
              <m:sty m:val="i"/>
            </m:rPr>
            <w:rPr>
              <w:rFonts w:ascii="Latin Modern Math" w:hAnsi="Latin Modern Math"/>
            </w:rPr>
            <m:t xml:space="preserve"> = </m:t>
          </m:r>
          <m:f>
            <m:num>
              <m:sSub>
                <m:e>
                  <m:r>
                    <m:rPr>
                      <m:sty m:val="i"/>
                    </m:rPr>
                    <w:rPr>
                      <w:rFonts w:ascii="Latin Modern Math" w:hAnsi="Latin Modern Math"/>
                    </w:rPr>
                    <m:t xml:space="preserve">ΔV</m:t>
                  </m:r>
                </m:e>
                <m:sub>
                  <m:r>
                    <m:rPr>
                      <m:nor m:val="1"/>
                      <m:sty m:val="p"/>
                    </m:rPr>
                    <w:rPr>
                      <w:rFonts w:ascii="Latin Modern Math" w:hAnsi="Latin Modern Math"/>
                    </w:rPr>
                    <m:t xml:space="preserve">tot</m:t>
                  </m:r>
                </m:sub>
              </m:sSub>
            </m:num>
            <m:den>
              <m:sSub>
                <m:e>
                  <m:r>
                    <m:rPr>
                      <m:sty m:val="i"/>
                    </m:rPr>
                    <w:rPr>
                      <w:rFonts w:ascii="Latin Modern Math" w:hAnsi="Latin Modern Math"/>
                    </w:rPr>
                    <m:t xml:space="preserve">I</m:t>
                  </m:r>
                </m:e>
                <m:sub>
                  <m:r>
                    <m:rPr>
                      <m:nor m:val="1"/>
                      <m:sty m:val="p"/>
                    </m:rPr>
                    <w:rPr>
                      <w:rFonts w:ascii="Latin Modern Math" w:hAnsi="Latin Modern Math"/>
                    </w:rPr>
                    <m:t xml:space="preserve">0</m:t>
                  </m:r>
                </m:sub>
              </m:sSub>
            </m:den>
          </m:f>
          <m:r>
            <m:rPr>
              <m:nor m:val="1"/>
              <m:sty m:val="p"/>
            </m:rPr>
            <w:rPr>
              <w:rFonts w:ascii="Latin Modern Math" w:hAnsi="Latin Modern Math"/>
            </w:rPr>
            <m:t xml:space="preserve">.</m:t>
          </m:r>
        </m:oMath>
      </m:oMathPara>
    </w:p>
    <w:p>
      <w:pPr/>
      <w:r>
        <w:rPr/>
        <w:t>With the negative-entropy choice, numerator and denominator are in bits. The multiplier compares a viability effect with an idealized information-acquisition benchmark under stated energetic assumptions. It need not exceed one and can be negative. It is not a general conversion from meaning into joules. [P05]</w:t>
      </w:r>
    </w:p>
    <w:p>
      <w:pPr/>
      <w:r>
        <w:rPr/>
        <w:t xml:space="preserve">The relational application remains unvalidated. An internal document such as DFQ-001 records an argument; it does not establish that a proposed </w:t>
      </w:r>
      <m:oMath>
        <m:sSub>
          <m:e>
            <m:r>
              <m:rPr>
                <m:sty m:val="i"/>
              </m:rPr>
              <w:rPr>
                <w:rFonts w:ascii="Latin Modern Math" w:hAnsi="Latin Modern Math"/>
              </w:rPr>
              <m:t xml:space="preserve">V</m:t>
            </m:r>
          </m:e>
          <m:sub>
            <m:r>
              <m:rPr>
                <m:nor m:val="1"/>
                <m:sty m:val="p"/>
              </m:rPr>
              <w:rPr>
                <w:rFonts w:ascii="Latin Modern Math" w:hAnsi="Latin Modern Math"/>
              </w:rPr>
              <m:t xml:space="preserve">rel</m:t>
            </m:r>
          </m:sub>
        </m:sSub>
      </m:oMath>
      <w:r>
        <w:rPr/>
        <w:t xml:space="preserve"> inherits a physical interpretation or has passed an empirical test. A relational score must specify whose outcome it represents, over what interval, under which interventions, and with what evidence that it measures the intended construct. Low uncertainty alone does not establish a healthy relationship.</w:t>
      </w:r>
    </w:p>
    <w:p>
      <w:pPr/>
      <w:r>
        <w:rPr/>
        <w:t>The Shadow Economy is not identical to K-W’s scrambling intervention. A harmful interaction may be highly structured and informative. Nor does unreciprocated transmission introduce a third regime missing from their framework: their treatment allows partial interventions and asymmetric semantic effects without requiring interpersonal reciprocity. [P05] Delivery, recognition, reply, cost, and outcome must be distinguished. The corrected Volumes 1, 2, and 4 preserve that distinction as internal continuity, not external validation.</w:t>
      </w:r>
    </w:p>
    <w:p>
      <w:pPr>
        <w:pStyle w:val="Heading3"/>
      </w:pPr>
      <w:bookmarkStart w:id="212" w:name="v3_l160"/>
      <w:r>
        <w:rPr>
          <w:sz w:val="26"/>
        </w:rPr>
        <w:t>5 Still and the thermodynamics of prediction</w:t>
      </w:r>
      <w:bookmarkEnd w:id="212"/>
    </w:p>
    <w:p>
      <w:pPr/>
      <w:r>
        <w:rPr/>
        <w:t>Still, Sivak, Bell, and Crooks analyze a system responding to a stochastic external signal without feedback to that signal. Their finite-protocol setup starts the system in equilibrium and uses Markovian response dynamics in an isothermal bath, with fixed-signal relaxation toward equilibrium. For a driving step they obtain, in nats,</w:t>
      </w:r>
    </w:p>
    <w:p>
      <w:pPr>
        <w:pStyle w:val="Equation"/>
      </w:pPr>
      <m:oMathPara>
        <m:oMath>
          <m:r>
            <m:rPr>
              <m:sty m:val="i"/>
            </m:rPr>
            <w:rPr>
              <w:rFonts w:ascii="Latin Modern Math" w:hAnsi="Latin Modern Math"/>
            </w:rPr>
            <m:t xml:space="preserve">β⟨</m:t>
          </m:r>
          <m:sSub>
            <m:e>
              <m:r>
                <m:rPr>
                  <m:sty m:val="i"/>
                </m:rPr>
                <w:rPr>
                  <w:rFonts w:ascii="Latin Modern Math" w:hAnsi="Latin Modern Math"/>
                </w:rPr>
                <m:t xml:space="preserve">W</m:t>
              </m:r>
            </m:e>
            <m:sub>
              <m:r>
                <m:rPr>
                  <m:nor m:val="1"/>
                  <m:sty m:val="p"/>
                </m:rPr>
                <w:rPr>
                  <w:rFonts w:ascii="Latin Modern Math" w:hAnsi="Latin Modern Math"/>
                </w:rPr>
                <m:t xml:space="preserve">diss,step</m:t>
              </m:r>
            </m:sub>
          </m:sSub>
          <m:r>
            <m:rPr>
              <m:sty m:val="i"/>
            </m:rPr>
            <w:rPr>
              <w:rFonts w:ascii="Latin Modern Math" w:hAnsi="Latin Modern Math"/>
            </w:rPr>
            <m:t xml:space="preserve">(t)⟩ = I(</m:t>
          </m:r>
          <m:sSub>
            <m:e>
              <m:r>
                <m:rPr>
                  <m:sty m:val="i"/>
                </m:rPr>
                <w:rPr>
                  <w:rFonts w:ascii="Latin Modern Math" w:hAnsi="Latin Modern Math"/>
                </w:rPr>
                <m:t xml:space="preserve">s</m:t>
              </m:r>
            </m:e>
            <m:sub>
              <m:r>
                <m:rPr>
                  <m:sty m:val="i"/>
                </m:rPr>
                <w:rPr>
                  <w:rFonts w:ascii="Latin Modern Math" w:hAnsi="Latin Modern Math"/>
                </w:rPr>
                <m:t xml:space="preserve">t</m:t>
              </m:r>
            </m:sub>
          </m:sSub>
          <m:r>
            <m:rPr>
              <m:sty m:val="i"/>
            </m:rPr>
            <w:rPr>
              <w:rFonts w:ascii="Latin Modern Math" w:hAnsi="Latin Modern Math"/>
            </w:rPr>
            <m:t xml:space="preserve">; </m:t>
          </m:r>
          <m:sSub>
            <m:e>
              <m:r>
                <m:rPr>
                  <m:sty m:val="i"/>
                </m:rPr>
                <w:rPr>
                  <w:rFonts w:ascii="Latin Modern Math" w:hAnsi="Latin Modern Math"/>
                </w:rPr>
                <m:t xml:space="preserve">x</m:t>
              </m:r>
            </m:e>
            <m:sub>
              <m:r>
                <m:rPr>
                  <m:sty m:val="i"/>
                </m:rPr>
                <w:rPr>
                  <w:rFonts w:ascii="Latin Modern Math" w:hAnsi="Latin Modern Math"/>
                </w:rPr>
                <m:t xml:space="preserve">t</m:t>
              </m:r>
            </m:sub>
          </m:sSub>
          <m:r>
            <m:rPr>
              <m:sty m:val="i"/>
            </m:rPr>
            <w:rPr>
              <w:rFonts w:ascii="Latin Modern Math" w:hAnsi="Latin Modern Math"/>
            </w:rPr>
            <m:t xml:space="preserve">) − I(</m:t>
          </m:r>
          <m:sSub>
            <m:e>
              <m:r>
                <m:rPr>
                  <m:sty m:val="i"/>
                </m:rPr>
                <w:rPr>
                  <w:rFonts w:ascii="Latin Modern Math" w:hAnsi="Latin Modern Math"/>
                </w:rPr>
                <m:t xml:space="preserve">s</m:t>
              </m:r>
            </m:e>
            <m:sub>
              <m:r>
                <m:rPr>
                  <m:sty m:val="i"/>
                </m:rPr>
                <w:rPr>
                  <w:rFonts w:ascii="Latin Modern Math" w:hAnsi="Latin Modern Math"/>
                </w:rPr>
                <m:t xml:space="preserve">t</m:t>
              </m:r>
            </m:sub>
          </m:sSub>
          <m:r>
            <m:rPr>
              <m:sty m:val="i"/>
            </m:rPr>
            <w:rPr>
              <w:rFonts w:ascii="Latin Modern Math" w:hAnsi="Latin Modern Math"/>
            </w:rPr>
            <m:t xml:space="preserve">; </m:t>
          </m:r>
          <m:sSub>
            <m:e>
              <m:r>
                <m:rPr>
                  <m:sty m:val="i"/>
                </m:rPr>
                <w:rPr>
                  <w:rFonts w:ascii="Latin Modern Math" w:hAnsi="Latin Modern Math"/>
                </w:rPr>
                <m:t xml:space="preserve">x</m:t>
              </m:r>
            </m:e>
            <m:sub>
              <m:r>
                <m:rPr>
                  <m:sty m:val="i"/>
                </m:rPr>
                <w:rPr>
                  <w:rFonts w:ascii="Latin Modern Math" w:hAnsi="Latin Modern Math"/>
                </w:rPr>
                <m:t xml:space="preserve">t+1</m:t>
              </m:r>
            </m:sub>
          </m:sSub>
          <m:r>
            <m:rPr>
              <m:sty m:val="i"/>
            </m:rPr>
            <w:rPr>
              <w:rFonts w:ascii="Latin Modern Math" w:hAnsi="Latin Modern Math"/>
            </w:rPr>
            <m:t xml:space="preserve">)</m:t>
          </m:r>
          <m:r>
            <m:rPr>
              <m:nor m:val="1"/>
              <m:sty m:val="p"/>
            </m:rPr>
            <w:rPr>
              <w:rFonts w:ascii="Latin Modern Math" w:hAnsi="Latin Modern Math"/>
            </w:rPr>
            <m:t xml:space="preserve">,</m:t>
          </m:r>
        </m:oMath>
      </m:oMathPara>
    </w:p>
    <w:p>
      <w:pPr/>
      <w:r>
        <w:rPr/>
        <w:t xml:space="preserve">where </w:t>
      </w:r>
      <m:oMath>
        <m:r>
          <m:rPr>
            <m:sty m:val="i"/>
          </m:rPr>
          <w:rPr>
            <w:rFonts w:ascii="Latin Modern Math" w:hAnsi="Latin Modern Math"/>
          </w:rPr>
          <m:t xml:space="preserve">β = </m:t>
        </m:r>
        <m:f>
          <m:num>
            <m:r>
              <m:rPr>
                <m:nor m:val="1"/>
                <m:sty m:val="p"/>
              </m:rPr>
              <w:rPr>
                <w:rFonts w:ascii="Latin Modern Math" w:hAnsi="Latin Modern Math"/>
              </w:rPr>
              <m:t xml:space="preserve">1</m:t>
            </m:r>
          </m:num>
          <m:den>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T</m:t>
            </m:r>
          </m:den>
        </m:f>
      </m:oMath>
      <w:r>
        <w:rPr/>
        <w:t>. For the full protocol, summed nonpredictive information provides a lower bound on total mean dissipation, rather than the same equality for every component of the process. [P06]</w:t>
      </w:r>
    </w:p>
    <w:p>
      <w:pPr/>
      <w:r>
        <w:rPr/>
        <w:t>This is not a proof that a person’s transducer operates at minimum cost. A reciprocal conversation also does not satisfy the no-feedback assumption merely because each participant predicts the other. An appropriate extension or different model would be needed.</w:t>
      </w:r>
    </w:p>
    <w:p>
      <w:pPr/>
      <w:r>
        <w:rPr/>
        <w:t xml:space="preserve">The original instruction to pay a Landauer tax on everything discarded is withdrawn. A cognitive label such as selection or compression does not identify a physical memory reset. For ideal reset of an unbiased bit in a symmetric isothermal memory, with no correlated side information used, the familiar heat benchmark is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T </m:t>
        </m:r>
        <m:r>
          <m:rPr>
            <m:nor m:val="1"/>
            <m:sty m:val="p"/>
          </m:rPr>
          <w:rPr>
            <w:rFonts w:ascii="Latin Modern Math" w:hAnsi="Latin Modern Math"/>
          </w:rPr>
          <m:t xml:space="preserve">ln 2</m:t>
        </m:r>
      </m:oMath>
      <w:r>
        <w:rPr/>
        <w:t>; it is a result about a specified physical operation, not every ignored signal. Heat delivered to a bath and total entropy production must also remain distinct. [P06]</w:t>
      </w:r>
    </w:p>
    <w:p>
      <w:pPr/>
      <w:r>
        <w:rPr/>
        <w:t>TSF adds a possible predictive target: what will this person do, what might this signal mean, and which response would serve a defined relational aim? Filter geometry can organize that proposal. It does not establish that the representation is optimal, that discarded material lacks value, or that its cost has been measured.</w:t>
      </w:r>
    </w:p>
    <w:p>
      <w:pPr>
        <w:pStyle w:val="Heading3"/>
      </w:pPr>
      <w:bookmarkStart w:id="213" w:name="v3_l174"/>
      <w:r>
        <w:rPr>
          <w:sz w:val="26"/>
        </w:rPr>
        <w:t>6 What the synthesis can support</w:t>
      </w:r>
      <w:bookmarkEnd w:id="213"/>
    </w:p>
    <w:p>
      <w:pPr/>
      <w:r>
        <w:rPr/>
        <w:t>These programs offer different resources: a proposed energy comparison, physical constraints on transitions, a counterfactual information measure, and a conditional prediction–dissipation relation. Their coexistence makes a research program possible. It does not make their strongest interpretations mutually confirming.</w:t>
      </w:r>
    </w:p>
    <w:p>
      <w:pPr/>
      <w:r>
        <w:rPr/>
        <w:t>The maximum entropy production principle cannot supply the missing universal link. Martyushev’s 2021 review advocates a formulation with locality and nonadditivity restrictions; it does not provide a demonstrated rule that all systems called complex maximize entropy production while simple ones do not. The review explicitly distinguishes local constitutive claims from aggregate behavior. Classifying a relationship or organism as complex is therefore insufficient to establish applicability. [P08]</w:t>
      </w:r>
    </w:p>
    <w:p>
      <w:pPr/>
      <w:r>
        <w:rPr/>
        <w:t>The next chapter may follow a selected history of physical, biological, and technological developments. It must not present that history as a measured monotonic increase in one quantity, or as a trajectory these four programs jointly predict. The Permission/Necessity Gap remains open at every transition.</w:t>
      </w:r>
    </w:p>
    <w:p>
      <w:pPr/>
      <w:r>
        <w:rPr/>
        <w:t>The relational question survives in a form that can fail a test. Specify the system, its environment, the information available, the intervention, the outcome, and the horizon. Measure physical resources separately. Ask whether the proposed relational description explains or predicts something beyond an appropriate alternative. No such validation is supplied by this survey. That is where the work begins.</w:t>
      </w:r>
    </w:p>
    <w:p>
      <w:pPr>
        <w:pStyle w:val="Heading2"/>
        <w:pageBreakBefore/>
        <w:spacing w:before="280" w:after="220"/>
      </w:pPr>
      <w:bookmarkStart w:id="214" w:name="v3_l184"/>
      <w:r>
        <w:rPr>
          <w:sz w:val="36"/>
        </w:rPr>
        <w:t>Chapter 3 The Progression</w:t>
      </w:r>
      <w:bookmarkEnd w:id="214"/>
    </w:p>
    <w:p>
      <w:pPr/>
      <w:r>
        <w:rPr/>
        <w:t>From Atoms to AI, Tier by Tier</w:t>
      </w:r>
    </w:p>
    <w:p>
      <w:pPr/>
      <w:r>
        <w:rPr/>
        <w:t>Epistemic status: Established observations and physical constraints are distinguished below from model-dependent results, analogies, and interpretation. The Progression is a selected retrospective sequence, not an established law of increasing entropy production.</w:t>
      </w:r>
    </w:p>
    <w:p>
      <w:pPr/>
      <w:r>
        <w:rPr/>
        <w:t>SupoRel boundary: Permission is not necessity, and an observed cost is not a demonstrated preference. Each transition needs its own mechanism and evidence. A nonteleological account does not, by itself, validate the Progression.</w:t>
      </w:r>
    </w:p>
    <w:p>
      <w:pPr>
        <w:pStyle w:val="Heading3"/>
      </w:pPr>
      <w:bookmarkStart w:id="215" w:name="v3_l192"/>
      <w:r>
        <w:rPr>
          <w:sz w:val="26"/>
        </w:rPr>
        <w:t>1 The arc</w:t>
      </w:r>
      <w:bookmarkEnd w:id="215"/>
    </w:p>
    <w:p>
      <w:pPr/>
      <w:r>
        <w:rPr/>
        <w:t>Atoms, stars, chemistry, life, brains, AI. It is a compelling sequence to walk. It is also a sequence selected by a narrator standing near its present endpoint. This chapter asks what the examples establish, what they leave open, and where the story outruns the measurements.</w:t>
      </w:r>
    </w:p>
    <w:p>
      <w:pPr/>
      <w:r>
        <w:rPr/>
        <w:t xml:space="preserve">The first distinction is dimensional. Chaisson’s energy rate density, </w:t>
      </w:r>
      <m:oMath>
        <m:sSub>
          <m:e>
            <m:r>
              <m:rPr>
                <m:sty m:val="i"/>
              </m:rPr>
              <w:rPr>
                <w:rFonts w:ascii="Latin Modern Math" w:hAnsi="Latin Modern Math"/>
              </w:rPr>
              <m:t xml:space="preserve">Φ</m:t>
            </m:r>
          </m:e>
          <m:sub>
            <m:r>
              <m:rPr>
                <m:nor m:val="1"/>
                <m:sty m:val="p"/>
              </m:rPr>
              <w:rPr>
                <w:rFonts w:ascii="Latin Modern Math" w:hAnsi="Latin Modern Math"/>
              </w:rPr>
              <m:t xml:space="preserve">m</m:t>
            </m:r>
          </m:sub>
        </m:sSub>
      </m:oMath>
      <w:r>
        <w:rPr/>
        <w:t>, is power divided by mass, measured in W/kg. Entropy-production rate per unit mass has units of W/(K·kg). Inferring entropy production from power requires a physical model of the system, its exchanges, and its surroundings. A list of power densities is not a measured entropy-production ladder. Nor is a sample of increasingly energetic systems evidence that every later system exceeds every earlier one. [P01, P02; Q14]</w:t>
      </w:r>
    </w:p>
    <w:p>
      <w:pPr/>
      <w:r>
        <w:rPr/>
        <w:t>Carroll’s nonteleological framing is useful here: physical explanations need prior conditions and dynamics, not an intended destination. But removing purpose does not establish a universal trend, or show that life and AI occupy inevitable attractor basins. The arrow of time and the direction of this chapter’s narrative are different questions. [Q01]</w:t>
      </w:r>
    </w:p>
    <w:p>
      <w:pPr>
        <w:pStyle w:val="Heading3"/>
      </w:pPr>
      <w:bookmarkStart w:id="216" w:name="v3_l200"/>
      <w:r>
        <w:rPr>
          <w:sz w:val="26"/>
        </w:rPr>
        <w:t>2 Atoms and initial conditions</w:t>
      </w:r>
      <w:bookmarkEnd w:id="216"/>
    </w:p>
    <w:p>
      <w:pPr/>
      <w:r>
        <w:rPr/>
        <w:t>After recombination, the universe contained largely neutral hydrogen and helium, distributed nearly uniformly on large scales with small perturbations. Smoothness has a special significance when gravity matters: a smooth early universe can have low entropy relative to gravitationally collapsed alternatives, even when its matter and radiation are close to local thermal equilibrium. This is not the claim that an isolated hydrogen atom has a universal minimum entropy-production rate. [Q01]</w:t>
      </w:r>
    </w:p>
    <w:p>
      <w:pPr/>
      <w:r>
        <w:rPr/>
        <w:t>The low-entropy past helps frame the thermodynamic arrow of time. It does not hand each future organism a fixed allocation of entropy tokens. A finite ledger of order is a metaphor, not a cosmological quantity established here. Gravity, expansion, boundaries, and coarse-graining matter to any proposed accounting.</w:t>
      </w:r>
    </w:p>
    <w:p>
      <w:pPr/>
      <w:r>
        <w:rPr/>
        <w:t>Tier: The broad cosmological setting is part of the standard physical account. The origin of the low-entropy past and a complete gravitational entropy accounting are not settled by invoking the second law. No progression toward intelligence follows from these statements.</w:t>
      </w:r>
    </w:p>
    <w:p>
      <w:pPr>
        <w:pStyle w:val="Heading3"/>
      </w:pPr>
      <w:bookmarkStart w:id="217" w:name="v3_l208"/>
      <w:r>
        <w:rPr>
          <w:sz w:val="26"/>
        </w:rPr>
        <w:t>3 Stars</w:t>
      </w:r>
      <w:bookmarkEnd w:id="217"/>
    </w:p>
    <w:p>
      <w:pPr/>
      <w:r>
        <w:rPr/>
        <w:t>Gravity gathers and heats material during star formation. Sustained main-sequence luminosity is then powered chiefly by nuclear fusion, not by continued conversion of gravitational potential energy alone. The Sun fuses hydrogen into helium; Borexino’s observations of proton–proton neutrinos provide direct evidence of that energy source. [Q02]</w:t>
      </w:r>
    </w:p>
    <w:p>
      <w:pPr/>
      <w:r>
        <w:rPr/>
        <w:t>Stars also help make the chemical inventory from which later systems form. Carbon-12 is produced in helium burning through the triple-alpha process. It is not a byproduct of the proton–proton chain. Different nuclei have different production histories; “everything above helium is stellar waste” is too sweeping an account. [Q03, Q15]</w:t>
      </w:r>
    </w:p>
    <w:p>
      <w:pPr/>
      <w:r>
        <w:rPr/>
        <w:t>Mass-specific luminosity varies across stars and evolutionary stages. It is an energy-flow measure, not a direct measure of complexity or entropy production. Stellar formation and nucleosynthesis explain particular physical transitions. They do not show that the universe was trying to reach the next rung. [P01, P02]</w:t>
      </w:r>
    </w:p>
    <w:p>
      <w:pPr/>
      <w:r>
        <w:rPr/>
        <w:t>Tier: Established for the identified fusion and nucleosynthesis processes. The description of a star as an entropy acceleration engine is interpretive shorthand, not an additional physical result.</w:t>
      </w:r>
    </w:p>
    <w:p>
      <w:pPr>
        <w:pStyle w:val="Heading3"/>
      </w:pPr>
      <w:bookmarkStart w:id="218" w:name="v3_l218"/>
      <w:r>
        <w:rPr>
          <w:sz w:val="26"/>
        </w:rPr>
        <w:t>4 Chemistry</w:t>
      </w:r>
      <w:bookmarkEnd w:id="218"/>
    </w:p>
    <w:p>
      <w:pPr/>
      <w:r>
        <w:rPr/>
        <w:t>The chemistry is real, and it is more interesting when named precisely. Kvenvolden, Lawless, and Ponnamperuma identified eight nonprotein amino acids in the Murchison meteorite and reported tentative evidence for four more. Hollis, Lovas, and Jewell detected rotational emission attributed to glycolaldehyde toward Sagittarius B2(N). These are specific observations of organic compounds beyond terrestrial biology. [Q04, Q05]</w:t>
      </w:r>
    </w:p>
    <w:p>
      <w:pPr/>
      <w:r>
        <w:rPr/>
        <w:t>They do not measure the probability that life begins, establish that every ingredient is widespread in useful concentrations, or demonstrate an uninterrupted route from a cloud to a cell. A new molecular species may enable new reactions under suitable conditions; it does not automatically add a gradient or increase entropy production. Reaction rates, concentrations, catalysts, and energy sources still have to be specified.</w:t>
      </w:r>
    </w:p>
    <w:p>
      <w:pPr/>
      <w:r>
        <w:rPr/>
        <w:t>Tier: Established for the cited detections, within the methods and qualifications of those studies. Their place in a single cosmic ladder remains an interpretation.</w:t>
      </w:r>
    </w:p>
    <w:p>
      <w:pPr>
        <w:pStyle w:val="Heading3"/>
      </w:pPr>
      <w:bookmarkStart w:id="219" w:name="v3_l226"/>
      <w:r>
        <w:rPr>
          <w:sz w:val="26"/>
        </w:rPr>
        <w:t>5 Life</w:t>
      </w:r>
      <w:bookmarkEnd w:id="219"/>
    </w:p>
    <w:p>
      <w:pPr/>
      <w:r>
        <w:rPr/>
        <w:t>Living organisms maintain and reproduce organized structures through exchanges of energy and matter with their environments. Metabolism has physical costs. There is no evidence here, however, that every bacterium produces more entropy per unit mass than every nonliving chemical system. Such a comparison would require defined boundaries, operating conditions, mass conventions, and entropy balances.</w:t>
      </w:r>
    </w:p>
    <w:p>
      <w:pPr/>
      <w:r>
        <w:rPr/>
        <w:t>The question remains: under which conditions can chemistry become a self-maintaining, reproducing system? Thermodynamic compatibility is one part of that question, not its complete answer.</w:t>
      </w:r>
    </w:p>
    <w:p>
      <w:pPr/>
      <w:r>
        <w:rPr/>
        <w:t>England’s self-replication analysis derives a lower bound on heat dissipation for a specified replication process under stated assumptions. It does not establish that self-replication generally outcompetes every nonreplicating alternative. Work on driven adaptation relates outcomes to more than mean dissipation: kinetics, accessibility, fluctuations, and the driving protocol matter. “Favored” therefore needs a defined comparison and a demonstrated result. Replacing “inevitable” with “favored” is not enough. [P03, P04]</w:t>
      </w:r>
    </w:p>
    <w:p>
      <w:pPr/>
      <w:r>
        <w:rPr/>
        <w:t>Tier: Supported within particular theoretical models or experimental systems, not as a universal explanation of life’s origin. Maximum entropy production remains a proposed principle whose use depends on assumptions and constraints. Martyushev’s review argues for restrictions on its applicability; it does not establish that biological complexity places life inside a validated universal domain. This chapter does not use MEPP to certify its ladder. [P07, P08]</w:t>
      </w:r>
    </w:p>
    <w:p>
      <w:pPr/>
      <w:r>
        <w:rPr/>
        <w:t>The Observation Split from Volume 1 offers a limited analogy: expenditure alone does not tell us what an interaction accomplishes. Thermodynamics likewise does not assign relational value to a physical cost. Irreversible processes can occur without building persistent biological organization. No quantified claim about the fraction of cosmic entropy production that makes life is needed here, and no preference for meaningful configurations has been demonstrated by that analogy.</w:t>
      </w:r>
    </w:p>
    <w:p>
      <w:pPr>
        <w:pStyle w:val="Heading3"/>
      </w:pPr>
      <w:bookmarkStart w:id="220" w:name="v3_l238"/>
      <w:r>
        <w:rPr>
          <w:sz w:val="26"/>
        </w:rPr>
        <w:t>6 Multicellular life and brains</w:t>
      </w:r>
      <w:bookmarkEnd w:id="220"/>
    </w:p>
    <w:p>
      <w:pPr/>
      <w:r>
        <w:rPr/>
        <w:t>Differentiated tissues and nervous systems change what organisms can do and how energy is allocated. In adult humans, the brain is roughly two percent of body mass and accounts for around one fifth of resting energy expenditure. That comparison is specific to adult human physiology and resting conditions. The brain is not the highest-consuming organ per unit mass: standard organ-level estimates evaluated by Wang and colleagues assign higher specific resting metabolic rates to the heart and kidneys. [Q06]</w:t>
      </w:r>
    </w:p>
    <w:p>
      <w:pPr/>
      <w:r>
        <w:rPr/>
        <w:t>These facts establish substantial neural energy costs. They do not show that every transition to multicellularity, every added tissue, or every increase in cognitive capacity raises mass-specific entropy production.</w:t>
      </w:r>
    </w:p>
    <w:p>
      <w:pPr/>
      <w:r>
        <w:rPr/>
        <w:t>A history of increasing capabilities can still be worth tracing. But the examples have been selected for the capabilities that interest us, and power, metabolic expenditure, and entropy production cannot be substituted for one another. The Specificity Gap remains: an available gradient does not determine a particular organism, nervous system, or evolutionary path. Combustion and metabolism involve different mechanisms and constraints; calling both dissipative does not make them equally accessible responses to any given gradient.</w:t>
      </w:r>
    </w:p>
    <w:p>
      <w:pPr/>
      <w:r>
        <w:rPr/>
        <w:t>Looking backward makes the surviving path easy to narrate. Testing a general pattern would also require less complex outcomes, extinct lineages, and systems that never developed life. Their omission cannot count as evidence that thermodynamics disfavored them.</w:t>
      </w:r>
    </w:p>
    <w:p>
      <w:pPr/>
      <w:r>
        <w:rPr/>
        <w:t>Tier: Supported for the scoped physiological findings. Neither the universal increase in entropy production nor the claim that a new layer appeared because the previous layer was spending too slowly is established.</w:t>
      </w:r>
    </w:p>
    <w:p>
      <w:pPr>
        <w:pStyle w:val="Heading3"/>
      </w:pPr>
      <w:bookmarkStart w:id="221" w:name="v3_l250"/>
      <w:r>
        <w:rPr>
          <w:sz w:val="26"/>
        </w:rPr>
        <w:t>7 AI</w:t>
      </w:r>
      <w:bookmarkEnd w:id="221"/>
    </w:p>
    <w:p>
      <w:pPr/>
      <w:r>
        <w:rPr/>
        <w:t>The IEA’s 2025 report estimates that data centres worldwide used about 415 TWh of electricity in 2024. This is the annual electricity use of data centres as a whole, including non-AI computing and supporting infrastructure. It is not an AI-only total, a power-per-mass measurement, or an entropy-production estimate. [Q07]</w:t>
      </w:r>
    </w:p>
    <w:p>
      <w:pPr/>
      <w:r>
        <w:rPr/>
        <w:t>Digital computation plainly has material and energy requirements. To compare an AI system with a brain, we would still need a specified task, system boundary, time interval, and accounting method. A global annual electricity total does not establish that AI is the next thermodynamic layer.</w:t>
      </w:r>
    </w:p>
    <w:p>
      <w:pPr/>
      <w:r>
        <w:rPr/>
        <w:t>AI arose through human engineering, institutions, investment, and a particular technological history. Thermodynamics constrains the hardware; it does not identify AI as the destination of that history. Calling AI another chapter in the Progression is a speculative interpretation, not an observation that a universal entropy-production pattern has continued. The question worth carrying forward is what these systems enable, at what physical cost, and under whose choices. [Q07]</w:t>
      </w:r>
    </w:p>
    <w:p>
      <w:pPr>
        <w:pStyle w:val="Heading3"/>
      </w:pPr>
      <w:bookmarkStart w:id="222" w:name="v3_l258"/>
      <w:r>
        <w:rPr>
          <w:sz w:val="26"/>
        </w:rPr>
        <w:t>8 The frame rate question</w:t>
      </w:r>
      <w:bookmarkEnd w:id="222"/>
    </w:p>
    <w:p>
      <w:pPr/>
      <w:r>
        <w:rPr/>
        <w:t>The transducer diagram uses discrete particles. That is a choice in the representation. It does not show that consciousness, relational attention, or physical entropy arrives in matching packets.</w:t>
      </w:r>
    </w:p>
    <w:p>
      <w:pPr/>
      <w:r>
        <w:rPr/>
        <w:t>Some experiments connect perceptual performance to neural rhythms. Busch, Dubois, and VanRullen found that the phase of ongoing EEG activity was associated with detection of near-threshold visual flashes, particularly in theta and alpha bands. This is evidence about a particular perceptual task. It does not establish a universal human consciousness frame rate of 10–40 Hz, or demonstrate that the brain inserts experience into otherwise empty intervals. [Q08]</w:t>
      </w:r>
    </w:p>
    <w:p>
      <w:pPr/>
      <w:r>
        <w:rPr/>
        <w:t>Questions about how distributed neural activity supports integrated perception remain meaningful. The binding problem cannot be reduced here to a proven film-splicing mechanism.</w:t>
      </w:r>
    </w:p>
    <w:p>
      <w:pPr/>
      <w:r>
        <w:rPr/>
        <w:t>Digital systems also perform operations in sequences, but a token, a context window, an inference run, and a chat session are different units. A context limit does not, by itself, specify when a model is loaded, how application state persists, or what runs between requests. An implementation must be examined before making those operational claims. None of these units establishes the presence or absence of subjective experience.</w:t>
      </w:r>
    </w:p>
    <w:p>
      <w:pPr/>
      <w:r>
        <w:rPr/>
        <w:t>Even if a process has identifiable temporal intervals, energy use could be integrated over those intervals without becoming a universal quantum of entropy. An entropy balance would still require the physical exchanges and temperatures, or an appropriate nonequilibrium model. A sampling rhythm and a computational step are not thereby the same physical event. [Q14]</w:t>
      </w:r>
    </w:p>
    <w:p>
      <w:pPr/>
      <w:r>
        <w:rPr/>
        <w:t>The Trinket can remain a conceptual unit for discussing a bounded act of relational attention. Here it is neither a measured minimum quantum of entropy nor the experimentally identified content of a conscious frame. To turn that proposal into a measurement would require an operational definition and evidence that distinguish it from an arbitrary accounting convention.</w:t>
      </w:r>
    </w:p>
    <w:p>
      <w:pPr/>
      <w:r>
        <w:rPr/>
        <w:t>Tier: Supported for the cited task-specific neural finding; Analogical for the comparison with digital sequencing. The Behind the Substrate Barrier principle marks a limit on what this framework infers about experience. It cannot establish a common frame structure first and postpone only the question of what those frames feel like.</w:t>
      </w:r>
    </w:p>
    <w:p>
      <w:pPr>
        <w:pStyle w:val="Heading3"/>
      </w:pPr>
      <w:bookmarkStart w:id="223" w:name="v3_l274"/>
      <w:r>
        <w:rPr>
          <w:sz w:val="26"/>
        </w:rPr>
        <w:t>9 The seven gaps applied</w:t>
      </w:r>
      <w:bookmarkEnd w:id="223"/>
    </w:p>
    <w:p>
      <w:pPr/>
      <w:r>
        <w:rPr/>
        <w:t>The framework’s own logical firewall applies to its own claims with full force:</w:t>
      </w:r>
    </w:p>
    <w:p>
      <w:pPr/>
      <w:r>
        <w:rPr/>
        <w:t>Gap 1 (Permission/Necessity): Compatibility with thermodynamics does not establish necessity or comparative likelihood. “Favored” needs a specified model and alternatives. [P03, P04]</w:t>
      </w:r>
    </w:p>
    <w:p>
      <w:pPr/>
      <w:r>
        <w:rPr/>
        <w:t>Gap 2 (Specificity): A gradient alone does not specify which structures form. Mechanisms, kinetics, boundary conditions, and history matter.</w:t>
      </w:r>
    </w:p>
    <w:p>
      <w:pPr/>
      <w:r>
        <w:rPr/>
        <w:t>Gap 3 (Scale Mismatch): A cosmological entropy discussion, an organism’s metabolism, and a data centre’s electricity use do not share a measurement merely because all obey physical laws. Boundaries, units, exchanges, and timescales must be made comparable. [Q01, Q06, Q07; Q14]</w:t>
      </w:r>
    </w:p>
    <w:p>
      <w:pPr/>
      <w:r>
        <w:rPr/>
        <w:t>Gap 4 (Ergodicity and Sampling): In the 2008 LTEE report, one of twelve initially identical E. coli populations had evolved aerobic citrate use by 31,500 generations. Replay experiments supported a role for that population’s prior history. This demonstrates contingency in that experimental setting; it does not prove that all driven systems are non-ergodic. Ergodicity is a property of a specified dynamical model and measure, not a synonym for divergent histories. [Q09]</w:t>
      </w:r>
    </w:p>
    <w:p>
      <w:pPr/>
      <w:r>
        <w:rPr/>
        <w:t>Gap 5 (Emergence): Knowing microscopic laws does not automatically supply an explanation at another scale. Anderson’s “More Is Different” argues for the importance of collective behavior and level-specific concepts; it is not a general theorem that no higher-level property can ever be derived. [Q10]</w:t>
      </w:r>
    </w:p>
    <w:p>
      <w:pPr/>
      <w:r>
        <w:rPr/>
        <w:t>Gap 6 (Contingency): Prior changes can alter what becomes accessible later. Historical constraint is not a forecast of which specific organism, technology, or relational practice must arise. [Q09]</w:t>
      </w:r>
    </w:p>
    <w:p>
      <w:pPr/>
      <w:r>
        <w:rPr/>
        <w:t>Gap 7 (Is-Ought): Even a demonstrated energetic or thermodynamic tendency would not tell us what to value or what to build. The Progression is an interpretive way of arranging selected events. It supplies no mandate.</w:t>
      </w:r>
    </w:p>
    <w:p>
      <w:pPr>
        <w:pStyle w:val="Heading2"/>
        <w:pageBreakBefore/>
        <w:spacing w:before="280" w:after="220"/>
      </w:pPr>
      <w:bookmarkStart w:id="224" w:name="v3_l292"/>
      <w:r>
        <w:rPr>
          <w:sz w:val="36"/>
        </w:rPr>
        <w:t>Chapter 4 The View from Outside</w:t>
      </w:r>
      <w:bookmarkEnd w:id="224"/>
    </w:p>
    <w:p>
      <w:pPr/>
      <w:r>
        <w:rPr/>
        <w:t>The Virus and the Star</w:t>
      </w:r>
    </w:p>
    <w:p>
      <w:pPr/>
      <w:r>
        <w:rPr/>
        <w:t>Epistemic status: LITERARY THOUGHT EXPERIMENT AND CRITIQUE. The imagined stellar viewpoint is an analogy, not a physical hypothesis established by thermodynamics. The physical limits of that analogy are stated where it is used. Internal narrative consistency is not evidence of physical plausibility.</w:t>
      </w:r>
    </w:p>
    <w:p>
      <w:pPr/>
      <w:r>
        <w:rPr/>
        <w:t>SupoRel flag: HIGHEST risk. The fever, host, and correction language below must travel with its limits. None describes a stellar immune mechanism, a prediction about extraterrestrial civilizations, or a prescription for human action.</w:t>
      </w:r>
    </w:p>
    <w:p>
      <w:pPr>
        <w:pStyle w:val="Heading3"/>
      </w:pPr>
      <w:bookmarkStart w:id="225" w:name="v3_l300"/>
      <w:r>
        <w:rPr>
          <w:sz w:val="26"/>
        </w:rPr>
        <w:t>1 The perspective shift</w:t>
      </w:r>
      <w:bookmarkEnd w:id="225"/>
    </w:p>
    <w:p>
      <w:pPr/>
      <w:r>
        <w:rPr/>
        <w:t>From inside the system, we call this progress: complexity, connection, culture, meaning, love. Now imagine giving a slow old star a voice and letting it reverse the story. In that invented voice, our urgency might look less like achievement than fever.</w:t>
      </w:r>
    </w:p>
    <w:p>
      <w:pPr/>
      <w:r>
        <w:rPr/>
        <w:t>The reversal can unsettle our confidence that the universe shares our priorities. It cannot supply the universe with a perspective. The star in this passage is a literary speaker, not an observer diagnosing a disease.</w:t>
      </w:r>
    </w:p>
    <w:p>
      <w:pPr/>
      <w:r>
        <w:rPr/>
        <w:t>There is a physical limit the image cannot cross. The Sun’s core releases energy through nuclear reactions. Using sunlight after it reaches Earth does not ordinarily make the Sun burn its nuclear fuel faster. It changes what happens to some already-emitted energy in the terrestrial system. Burning stored terrestrial fuels draws on different reservoirs; these are not withdrawals from a single stellar account. [Q02, Q11]</w:t>
      </w:r>
    </w:p>
    <w:p>
      <w:pPr/>
      <w:r>
        <w:rPr/>
        <w:t>The line “we are its fever” can survive as a provocation about our own rates of consumption. It cannot survive as an energy-flow calculation showing that industry or AI shortens the Sun’s life. That causal link has not been supplied.</w:t>
      </w:r>
    </w:p>
    <w:p>
      <w:pPr/>
      <w:r>
        <w:rPr/>
        <w:t>The virus comparison has another limit. “Accelerates the host’s entropy production” is not a biological definition of a virus, nor does it establish a mechanism by which a star could protect itself. Calling a response “immune” imports the machinery of a living system without identifying a stellar counterpart.</w:t>
      </w:r>
    </w:p>
    <w:p>
      <w:pPr/>
      <w:r>
        <w:rPr/>
        <w:t>Carroll’s nonteleological guard belongs here, but removing intention does not repair the missing mechanism. An impersonal correction still needs a feedback pathway, equations, and evidence. The star-as-host image supplies none of them.</w:t>
      </w:r>
    </w:p>
    <w:p>
      <w:pPr>
        <w:pStyle w:val="Heading3"/>
      </w:pPr>
      <w:bookmarkStart w:id="226" w:name="v3_l314"/>
      <w:r>
        <w:rPr>
          <w:sz w:val="26"/>
        </w:rPr>
        <w:t>2 The Fermi paradox reading</w:t>
      </w:r>
      <w:bookmarkEnd w:id="226"/>
    </w:p>
    <w:p>
      <w:pPr/>
      <w:r>
        <w:rPr/>
        <w:t>The previous image tempts us toward a story: perhaps technological civilizations accelerate their energy use until something corrects them. That is a useful example of how a framework can generate an explanation-shaped narrative before it has generated a test.</w:t>
      </w:r>
    </w:p>
    <w:p>
      <w:pPr/>
      <w:r>
        <w:rPr/>
        <w:t>This chapter offers no model connecting AI electricity demand to a stellar response, no threshold for such a response, and no evidence that it explains the absence of confirmed extraterrestrial civilizations. Thermodynamic laws do not, on their own, predict that AI-building societies trigger systemic correction. The proposal is not promoted to a scientific hypothesis merely by calling it speculative.</w:t>
      </w:r>
    </w:p>
    <w:p>
      <w:pPr/>
      <w:r>
        <w:rPr/>
        <w:t>A narrower question remains worth asking: can a particular civilization’s resource use undermine the conditions on which it depends? Answering requires a specified environment, resource flows, mechanisms, and evidence. It does not require a cosmic immune system. The framework must let an explanation fail when those links are missing. Otherwise every ending becomes confirmation.</w:t>
      </w:r>
    </w:p>
    <w:p>
      <w:pPr/>
      <w:r>
        <w:rPr/>
        <w:t>The capture vector is the existential cosmic narrative. Its emotional force is a reason for stricter testing, not a substitute for it.</w:t>
      </w:r>
    </w:p>
    <w:p>
      <w:pPr>
        <w:pStyle w:val="Heading3"/>
      </w:pPr>
      <w:bookmarkStart w:id="227" w:name="v3_l324"/>
      <w:r>
        <w:rPr>
          <w:sz w:val="26"/>
        </w:rPr>
        <w:t>3 Critical mass and release</w:t>
      </w:r>
      <w:bookmarkEnd w:id="227"/>
    </w:p>
    <w:p>
      <w:pPr/>
      <w:r>
        <w:rPr/>
        <w:t>Open systems can sustain nonequilibrium structures through exchanges with their surroundings. Some become unstable as forcing or constraints change; their possible responses include new steady states, oscillations, and other dynamical behavior. Prigogine’s treatment requires attention to the particular system and its stability. It does not give a universal rule that accumulated tension must end in catastrophic release. [Q14]</w:t>
      </w:r>
    </w:p>
    <w:p>
      <w:pPr/>
      <w:r>
        <w:rPr/>
        <w:t>A family argument, a divorce, and a war can all be narrated as tension followed by rupture. That resemblance is literary and, at most, a starting point for a carefully specified model. This chapter has not defined a thermodynamic entropy for a relationship, measured an entropy-production rate for conflict, or established a common order parameter across these events. It therefore cannot rank them as small, larger, and maximal instances of one physical operation.</w:t>
      </w:r>
    </w:p>
    <w:p>
      <w:pPr/>
      <w:r>
        <w:rPr/>
        <w:t>Human suffering does not acquire an explanation, a necessity, or a justification by being renamed dissipation. The causes and choices at each scale still need to be examined.</w:t>
      </w:r>
    </w:p>
    <w:p>
      <w:pPr/>
      <w:r>
        <w:rPr/>
        <w:t>The repetition of a shape in our descriptions is not proof of physical scale invariance. To make that claim, we would need defined variables and a demonstrated relation under changes of scale. Common physical constraints do not guarantee common mechanisms, causes, timescales, or social meanings. The parallel may help us ask a question. It cannot answer it in advance.</w:t>
      </w:r>
    </w:p>
    <w:p>
      <w:pPr/>
      <w:r>
        <w:rPr/>
        <w:t>The view from outside earns its place by exposing how readily a pattern becomes a story about destiny or correction. The fever image changes the angle of attention. It does not change what the physics has established. Keep the question, identify the mechanism, and let the story stop where the evidence stops.</w:t>
      </w:r>
    </w:p>
    <w:p>
      <w:pPr>
        <w:pStyle w:val="Heading2"/>
        <w:pageBreakBefore/>
        <w:spacing w:before="280" w:after="220"/>
      </w:pPr>
      <w:bookmarkStart w:id="228" w:name="v3_l336"/>
      <w:r>
        <w:rPr>
          <w:sz w:val="36"/>
        </w:rPr>
        <w:t>Chapter 5 Process with Attractors</w:t>
      </w:r>
      <w:bookmarkEnd w:id="228"/>
    </w:p>
    <w:p>
      <w:pPr/>
      <w:r>
        <w:rPr/>
        <w:t>Pushed from Behind Not Pulled Toward</w:t>
      </w:r>
    </w:p>
    <w:p>
      <w:pPr/>
      <w:r>
        <w:rPr/>
        <w:t>Epistemic status: Causal framing informed by Carroll, with specified nonequilibrium results and an explicitly limited attractor vocabulary. The chapter does not establish a Carroll–England theory of cosmic complexity. The cosmological and relational extensions remain interpretive or speculative. SupoRel applies to the corrective story as well as the original one.</w:t>
      </w:r>
    </w:p>
    <w:p>
      <w:pPr>
        <w:pStyle w:val="Heading3"/>
      </w:pPr>
      <w:bookmarkStart w:id="229" w:name="v3_l342"/>
      <w:r>
        <w:rPr>
          <w:sz w:val="26"/>
        </w:rPr>
        <w:t>1 The antidote must change the claim</w:t>
      </w:r>
      <w:bookmarkEnd w:id="229"/>
    </w:p>
    <w:p>
      <w:pPr/>
      <w:r>
        <w:rPr/>
        <w:t>The preceding chapters follow a selected path from physical structures to living systems and human technologies. It is an arresting sequence. It is not a measurement of a single quantity increasing through the whole universe. Energy throughput, energy rate density, entropy production, information, and complexity cannot be substituted for one another as the narration moves between scales.</w:t>
      </w:r>
    </w:p>
    <w:p>
      <w:pPr/>
      <w:r>
        <w:rPr/>
        <w:t>A caution at the end would not repair a causal claim the evidence never supported. This chapter therefore withdraws the claim that the sequence is generated by a universal preference for increasingly complex dissipators. It also withdraws the claim that calling the sequence nonteleological establishes that it has no purpose in every philosophical sense. The physics discussed here does not settle that question.</w:t>
      </w:r>
    </w:p>
    <w:p>
      <w:pPr/>
      <w:r>
        <w:rPr/>
        <w:t>The useful distinction is narrower: a process can be explained without putting the outcome into its causes. The Permission/Necessity Gap asks what the dynamics allow, what they favor under specified conditions, and what they actually require. Those are three different claims.</w:t>
      </w:r>
    </w:p>
    <w:p>
      <w:pPr>
        <w:pStyle w:val="Heading3"/>
      </w:pPr>
      <w:bookmarkStart w:id="230" w:name="v3_l350"/>
      <w:r>
        <w:rPr>
          <w:sz w:val="26"/>
        </w:rPr>
        <w:t>2 Carroll and explanation from prior conditions</w:t>
      </w:r>
      <w:bookmarkEnd w:id="230"/>
    </w:p>
    <w:p>
      <w:pPr/>
      <w:r>
        <w:rPr/>
        <w:t>Carroll proposed aphormeology for an explanation originating in a past condition. His account connects the thermodynamic arrow with a low-entropy past rather than a future goal. The phrase “pushed from behind” is useful shorthand for this contrast. It does not mean that temporal asymmetry is unreal, and it does not identify attractors for life or intelligence. [P09]</w:t>
      </w:r>
    </w:p>
    <w:p>
      <w:pPr/>
      <w:r>
        <w:rPr/>
        <w:t>For this volume, the guard is methodological. Give the initial or boundary conditions, the dynamics, and the physical resources relevant to the particular system. Then ask what follows. A low-entropy past is not by itself a complete mechanism for a star, a replicator, a nervous system, or a conversation. Each proposed transition needs additional explanation.</w:t>
      </w:r>
    </w:p>
    <w:p>
      <w:pPr/>
      <w:r>
        <w:rPr/>
        <w:t>Likewise, a nonnegative entropy-production condition does not specify which available process occurs fastest, which structure appears, or which outcome has the highest complexity. A bound is not a trajectory. The same caution applies to a proposed far-future endpoint: this argument does not need, and does not establish, an unconditional prediction of cosmic heat death.</w:t>
      </w:r>
    </w:p>
    <w:p>
      <w:pPr/>
      <w:r>
        <w:rPr/>
        <w:t>Carroll’s framing also leaves room for ordinary human purposes. A scientist can design an experiment and a person can intend to comfort someone without treating that intention as a goal built into cosmological laws. Physical explanation and the description of a person’s purposes operate at different explanatory levels; this chapter need not erase either to avoid a cosmic mandate.</w:t>
      </w:r>
    </w:p>
    <w:p>
      <w:pPr>
        <w:pStyle w:val="Heading3"/>
      </w:pPr>
      <w:bookmarkStart w:id="231" w:name="v3_l360"/>
      <w:r>
        <w:rPr>
          <w:sz w:val="26"/>
        </w:rPr>
        <w:t>3 What the driven systems results add</w:t>
      </w:r>
      <w:bookmarkEnd w:id="231"/>
    </w:p>
    <w:p>
      <w:pPr/>
      <w:r>
        <w:rPr/>
        <w:t>The original England complement offered three answers: complex structures arise because they dissipate better, persist because efficient dissipators are more stable, and replicate because replicators are the most efficient dissipators. None of those universal answers is established by the cited work.</w:t>
      </w:r>
    </w:p>
    <w:p>
      <w:pPr/>
      <w:r>
        <w:rPr/>
        <w:t>England’s 2013 result constrains the heat associated with specified replication processes. The 2016 adaptation analysis relates outcome probabilities to formation histories in defined driven dynamics. A lower bound on expenditure is not a guarantee of origin, and a contribution to an outcome probability is not the only determinant of that probability. [P03, P04]</w:t>
      </w:r>
    </w:p>
    <w:p>
      <w:pPr/>
      <w:r>
        <w:rPr/>
        <w:t>The distinction becomes especially clear in low-rattling research. Chvykov and colleagues estimate C(q), the covariance of short-time configuration displacements divided by the square root of elapsed time, and use</w:t>
      </w:r>
    </w:p>
    <w:p>
      <w:pPr>
        <w:pStyle w:val="Equation"/>
      </w:pPr>
      <m:oMathPara>
        <m:oMath>
          <m:r>
            <m:rPr>
              <m:sty m:val="i"/>
            </m:rPr>
            <w:rPr>
              <w:rFonts w:ascii="Latin Modern Math" w:hAnsi="Latin Modern Math"/>
            </w:rPr>
            <m:t xml:space="preserve">R(q) = </m:t>
          </m:r>
          <m:f>
            <m:num>
              <m:r>
                <m:rPr>
                  <m:nor m:val="1"/>
                  <m:sty m:val="p"/>
                </m:rPr>
                <w:rPr>
                  <w:rFonts w:ascii="Latin Modern Math" w:hAnsi="Latin Modern Math"/>
                </w:rPr>
                <m:t xml:space="preserve">1</m:t>
              </m:r>
            </m:num>
            <m:den>
              <m:r>
                <m:rPr>
                  <m:nor m:val="1"/>
                  <m:sty m:val="p"/>
                </m:rPr>
                <w:rPr>
                  <w:rFonts w:ascii="Latin Modern Math" w:hAnsi="Latin Modern Math"/>
                </w:rPr>
                <m:t xml:space="preserve">2</m:t>
              </m:r>
            </m:den>
          </m:f>
          <m:r>
            <m:rPr>
              <m:nor m:val="1"/>
              <m:sty m:val="p"/>
            </m:rPr>
            <w:rPr>
              <w:rFonts w:ascii="Latin Modern Math" w:hAnsi="Latin Modern Math"/>
            </w:rPr>
            <m:t xml:space="preserve"> ln det </m:t>
          </m:r>
          <m:r>
            <m:rPr>
              <m:sty m:val="i"/>
            </m:rPr>
            <w:rPr>
              <w:rFonts w:ascii="Latin Modern Math" w:hAnsi="Latin Modern Math"/>
            </w:rPr>
            <m:t xml:space="preserve">C(q)</m:t>
          </m:r>
        </m:oMath>
      </m:oMathPara>
    </w:p>
    <w:p>
      <w:pPr/>
      <w:r>
        <w:rPr/>
        <w:t xml:space="preserve">as a Gaussian-entropy estimate up to an additive constant. With a fixed coordinate convention, their predictive relation is </w:t>
      </w:r>
      <m:oMath>
        <m:sSub>
          <m:e>
            <m:r>
              <m:rPr>
                <m:sty m:val="i"/>
              </m:rPr>
              <w:rPr>
                <w:rFonts w:ascii="Latin Modern Math" w:hAnsi="Latin Modern Math"/>
              </w:rPr>
              <m:t xml:space="preserve">p</m:t>
            </m:r>
          </m:e>
          <m:sub>
            <m:r>
              <m:rPr>
                <m:nor m:val="1"/>
                <m:sty m:val="p"/>
              </m:rPr>
              <w:rPr>
                <w:rFonts w:ascii="Latin Modern Math" w:hAnsi="Latin Modern Math"/>
              </w:rPr>
              <m:t xml:space="preserve">ss</m:t>
            </m:r>
          </m:sub>
        </m:sSub>
        <m:r>
          <m:rPr>
            <m:sty m:val="i"/>
          </m:rPr>
          <w:rPr>
            <w:rFonts w:ascii="Latin Modern Math" w:hAnsi="Latin Modern Math"/>
          </w:rPr>
          <m:t xml:space="preserve">(q) ∝ </m:t>
        </m:r>
        <m:r>
          <m:rPr>
            <m:nor m:val="1"/>
            <m:sty m:val="p"/>
          </m:rPr>
          <w:rPr>
            <w:rFonts w:ascii="Latin Modern Math" w:hAnsi="Latin Modern Math"/>
          </w:rPr>
          <m:t xml:space="preserve">exp</m:t>
        </m:r>
        <m:r>
          <m:rPr>
            <m:sty m:val="i"/>
          </m:rPr>
          <w:rPr>
            <w:rFonts w:ascii="Latin Modern Math" w:hAnsi="Latin Modern Math"/>
          </w:rPr>
          <m:t xml:space="preserve">[−γR(q)]</m:t>
        </m:r>
      </m:oMath>
      <w:r>
        <w:rPr/>
        <w:t>, where γ is system-specific. Their robot experiments and simulations support this relation in the studied settings; it is not a universal nonequilibrium distribution. [P07]</w:t>
      </w:r>
    </w:p>
    <w:p>
      <w:pPr/>
      <w:r>
        <w:rPr/>
        <w:t>Low rattling concerns disorder in driven motion, not minimum variance of entropy production. It does not show that the universe maximizes, minimizes, or stabilizes dissipation through complexity. The robot collectives supply a bounded example of organization under a particular drive, not a measured thermodynamic destiny for organisms or civilizations.</w:t>
      </w:r>
    </w:p>
    <w:p>
      <w:pPr/>
      <w:r>
        <w:rPr/>
        <w:t>This changes the synthesis. We may investigate whether a proposed system has a reproducible response to driving and whether a specified information exchange helps maintain a chosen outcome. We cannot skip those measurements by declaring the system a favored dissipator. “Permitted and realized” still does not entail “required and inevitable.”</w:t>
      </w:r>
    </w:p>
    <w:p>
      <w:pPr>
        <w:pStyle w:val="Heading3"/>
      </w:pPr>
      <w:bookmarkStart w:id="232" w:name="v3_l376"/>
      <w:r>
        <w:rPr>
          <w:sz w:val="26"/>
        </w:rPr>
        <w:t>4 What counts as an attractor here</w:t>
      </w:r>
      <w:bookmarkEnd w:id="232"/>
    </w:p>
    <w:p>
      <w:pPr/>
      <w:r>
        <w:rPr/>
        <w:t>This chapter uses attractor in a technical sense only when a dynamical model makes the claim explicit: it must identify a state space, evolution rule, and a set approached from an associated range of initial conditions. In noisy systems, long-lived configurations and concentrations of stationary probability may instead be the relevant objects. The terminology must follow the model rather than stand in for one.</w:t>
      </w:r>
    </w:p>
    <w:p>
      <w:pPr/>
      <w:r>
        <w:rPr/>
        <w:t>The low-rattling robot study provides a concrete setting in which persistent collective behaviors and transitions between them can be investigated. [P07] It does not establish that atoms, amino acids, self-replicators, brains, and intelligence are successive basins in one cosmic landscape. The phrase “the physics has basins for them” concealed the absent models and the unmeasured transition probabilities.</w:t>
      </w:r>
    </w:p>
    <w:p>
      <w:pPr/>
      <w:r>
        <w:rPr/>
        <w:t>A useful attractor claim would say what varies across repeated trials, what remains fixed, how approach or persistence is measured, and what observation would count against it. Repeated occurrence of a broadly similar output would motivate this investigation. It would not by itself demonstrate one shared mechanism across scales.</w:t>
      </w:r>
    </w:p>
    <w:p>
      <w:pPr/>
      <w:r>
        <w:rPr/>
        <w:t>The internal formulation “Process with attractors, not entity with goals” can remain a guide to questions. Its first half needs a model wherever it is used technically; its second half describes the explanatory stance of this volume rather than a result proving the absence of every possible cosmic purpose. Calling it a finding in an internal session does not add empirical support.</w:t>
      </w:r>
    </w:p>
    <w:p>
      <w:pPr/>
      <w:r>
        <w:rPr/>
        <w:t>The suggestion that this could be the universe’s six-billionth attempt is retained only as an example of speculative narration. This chapter supplies no evidence for earlier cycles, a count of attempts, or repeated production of intelligence. Even within a proposed cyclic model, similar outcomes would require an argument about the relevant dynamics and boundary conditions. Unchanged laws alone would not establish the needed probabilities.</w:t>
      </w:r>
    </w:p>
    <w:p>
      <w:pPr/>
      <w:r>
        <w:rPr/>
        <w:t>Nor can the attractor vocabulary predict a broad class of outcomes merely by abandoning the prediction of a particular species. “Intelligence will recur” is still a prediction requiring evidence. The Ergodicity Gap and the Contingency Gap prohibit treating accessible states as states guaranteed to be visited, or known outcomes as unavoidable consequences of the laws.</w:t>
      </w:r>
    </w:p>
    <w:p>
      <w:pPr>
        <w:pStyle w:val="Heading3"/>
      </w:pPr>
      <w:bookmarkStart w:id="233" w:name="v3_l390"/>
      <w:r>
        <w:rPr>
          <w:sz w:val="26"/>
        </w:rPr>
        <w:t>5 What this does to the Progression</w:t>
      </w:r>
      <w:bookmarkEnd w:id="233"/>
    </w:p>
    <w:p>
      <w:pPr/>
      <w:r>
        <w:rPr/>
        <w:t>The Progression can remain a comparison of selected developments and the conditions that made them possible. Its historical interest does not depend on a universal complexity law. A successful account would identify which transitions are well explained, which remain open, and which relational connections are proposals rather than physical deductions.</w:t>
      </w:r>
    </w:p>
    <w:p>
      <w:pPr/>
      <w:r>
        <w:rPr/>
        <w:t>SupoRel must be applied to the framework’s own explanation. An account organized around entropy is likely to direct attention toward entropy-related descriptions; that choice does not establish that these descriptions explain everything important about the cases. We should ask what alternatives were omitted and what evidence could favor one explanation over another.</w:t>
      </w:r>
    </w:p>
    <w:p>
      <w:pPr/>
      <w:r>
        <w:rPr/>
        <w:t>The same discipline prevents a subtler conversion: maximum dissipation sounds like a purpose, so stable dissipation is substituted and called a resting point. That change is rhetorical unless the system, quantity, and dynamics are specified. A corrective metaphor can acquire the authority of a law as easily as the original one.</w:t>
      </w:r>
    </w:p>
    <w:p>
      <w:pPr/>
      <w:r>
        <w:rPr/>
        <w:t>The relational application remains ambitious. It asks how physical systems come to sustain patterns that matter to one another, how those patterns are represented, and what happens when an intended connection is not registered or returned. Answering those questions will require more than physical resource accounting, but it need not deny that accounting. Costs, information, outcomes, and purposes can be investigated without giving them one name.</w:t>
      </w:r>
    </w:p>
    <w:p>
      <w:pPr>
        <w:pStyle w:val="Heading3"/>
      </w:pPr>
      <w:bookmarkStart w:id="234" w:name="v3_l400"/>
      <w:r>
        <w:rPr>
          <w:sz w:val="26"/>
        </w:rPr>
        <w:t>What this chapter now claims</w:t>
      </w:r>
      <w:bookmarkEnd w:id="234"/>
    </w:p>
    <w:p>
      <w:pPr/>
      <w:r>
        <w:rPr/>
        <w:t>Prior conditions and specified dynamics can support explanations that do not invoke a future cosmic goal. The cited driven-systems results show why particular organization questions are tractable; they do not establish a universal path to complexity, life, intelligence, or the Trinket. Attractors must be demonstrated in a model or marked as analogy. The Permission/Necessity Gap remains a constraint on the framework itself.</w:t>
      </w:r>
    </w:p>
    <w:p>
      <w:pPr/>
      <w:r>
        <w:rPr/>
        <w:t>The antidote is not certainty that the universe has no purpose. It is refusing to present an untested interpretation as a consequence of physics.</w:t>
      </w:r>
    </w:p>
    <w:p>
      <w:pPr>
        <w:pStyle w:val="Heading2"/>
        <w:pageBreakBefore/>
        <w:spacing w:before="280" w:after="220"/>
      </w:pPr>
      <w:bookmarkStart w:id="235" w:name="v3_l406"/>
      <w:r>
        <w:rPr>
          <w:sz w:val="36"/>
        </w:rPr>
        <w:t>Chapter 6 What the Pattern Reveals</w:t>
      </w:r>
      <w:bookmarkEnd w:id="235"/>
    </w:p>
    <w:p>
      <w:pPr>
        <w:pStyle w:val="Heading3"/>
      </w:pPr>
      <w:bookmarkStart w:id="236" w:name="v3_l408"/>
      <w:r>
        <w:rPr>
          <w:sz w:val="26"/>
        </w:rPr>
        <w:t>The progression and the documents it connects</w:t>
      </w:r>
      <w:bookmarkEnd w:id="236"/>
    </w:p>
    <w:p>
      <w:pPr/>
      <w:r>
        <w:rPr/>
        <w:t>Epistemic status: this chapter draws limited implications from the preceding review. It adds no empirical validation of the framework. References to other project documents identify dependencies; they do not certify or amend those documents.</w:t>
      </w:r>
    </w:p>
    <w:p>
      <w:pPr>
        <w:pStyle w:val="Heading3"/>
      </w:pPr>
      <w:bookmarkStart w:id="237" w:name="v3_l412"/>
      <w:r>
        <w:rPr>
          <w:sz w:val="26"/>
        </w:rPr>
        <w:t>1 What this volume did</w:t>
      </w:r>
      <w:bookmarkEnd w:id="237"/>
    </w:p>
    <w:p>
      <w:pPr/>
      <w:r>
        <w:rPr/>
        <w:t>The original question remains: how should we understand the physical context in which relational systems arise? This volume has not answered it with a universal preference for complexity or connection. It has separated several research programs that the original account joined too quickly.</w:t>
      </w:r>
    </w:p>
    <w:p>
      <w:pPr/>
      <w:r>
        <w:rPr/>
        <w:t>Energy rate density describes a chosen power-to-mass ratio. Replication bounds constrain specified physical processes. Models of driven self-organization investigate particular dynamics and state distributions. Semantic-information and prediction formalisms define different quantities for different questions. Each can inform a carefully specified investigation. Their conjunction does not establish a thermodynamic origin story for every relational system.</w:t>
      </w:r>
    </w:p>
    <w:p>
      <w:pPr/>
      <w:r>
        <w:rPr/>
        <w:t>The correction is deeper than replacing “necessary” with “favored.” The latter remains a substantive comparative claim. Without a defined comparison, dynamics and evidentiary basis, it is not the cautious version of an established result. It is an unsupported result with a softer adjective.</w:t>
      </w:r>
    </w:p>
    <w:p>
      <w:pPr/>
      <w:r>
        <w:rPr/>
        <w:t>The revised Progression is a set of historical examples and proposed questions. Its value depends on whether those questions can be made informative, not on preserving a single cosmic ladder.</w:t>
      </w:r>
    </w:p>
    <w:p>
      <w:pPr>
        <w:pStyle w:val="Heading3"/>
      </w:pPr>
      <w:bookmarkStart w:id="238" w:name="v3_l422"/>
      <w:r>
        <w:rPr>
          <w:sz w:val="26"/>
        </w:rPr>
        <w:t>2 What follows for the scale invariance claim</w:t>
      </w:r>
      <w:bookmarkEnd w:id="238"/>
    </w:p>
    <w:p>
      <w:pPr/>
      <w:r>
        <w:rPr/>
        <w:t>DB-01's scale-invariance claim cannot borrow a proof from this volume. Shared physical constraints do not make a cell, a family and a civilization instances of the same measured dynamical model. Similar language about accumulation, tension and release does not establish a common cause, critical threshold or scaling relation.</w:t>
      </w:r>
    </w:p>
    <w:p>
      <w:pPr/>
      <w:r>
        <w:rPr/>
        <w:t>A scientific scale-invariance claim needs defined observables and a specified transformation of scale. A proposed connection between systems would then have to show what remains invariant, which parameters change and where the comparison fails. A fractal description likewise needs more than visual or rhetorical recurrence.</w:t>
      </w:r>
    </w:p>
    <w:p>
      <w:pPr/>
      <w:r>
        <w:rPr/>
        <w:t>The social examples in Chapter 4 remain analogies unless that additional work is done. Treating arguments, divorces and wars as instances of one measured cross-scale entropy-release mechanism risks concealing the human choices and institutions that an explanation would need to examine. Nothing in this volume makes those events physically inevitable or morally required.</w:t>
      </w:r>
    </w:p>
    <w:p>
      <w:pPr/>
      <w:r>
        <w:rPr/>
        <w:t>DB-01 itself is not rewritten in this pass. The dependency is flagged: any claim there that Volume 3 supplies a thermodynamic derivation of scale invariance needs separate reassessment.</w:t>
      </w:r>
    </w:p>
    <w:p>
      <w:pPr>
        <w:pStyle w:val="Heading3"/>
      </w:pPr>
      <w:bookmarkStart w:id="239" w:name="v3_l432"/>
      <w:r>
        <w:rPr>
          <w:sz w:val="26"/>
        </w:rPr>
        <w:t>3 What follows for MEPP and low rattling</w:t>
      </w:r>
      <w:bookmarkEnd w:id="239"/>
    </w:p>
    <w:p>
      <w:pPr/>
      <w:r>
        <w:rPr/>
        <w:t>The internal MEPP Assessment Note's “Supported” label is not a universal license. Any application of a maximum-entropy-production proposal must identify the formulation, constraints, admissible alternatives and quantity being optimized. Results and arguments for one class of systems cannot be transferred to relational behavior by the word “complex.”</w:t>
      </w:r>
    </w:p>
    <w:p>
      <w:pPr/>
      <w:r>
        <w:rPr/>
        <w:t>The separate structural revision package correctly recognized a need for stronger limits, but some of its proposed scientific guards were themselves inaccurate. Low rattling is not defined as low variance in entropy-production rate, and its observed selection in particular driven systems does not establish that the universe generally stabilizes dissipation. A review's proposed domain restrictions for MEPP are not an empirical division in which complex systems obey the principle and simple systems do not.</w:t>
      </w:r>
    </w:p>
    <w:p>
      <w:pPr/>
      <w:r>
        <w:rPr/>
        <w:t>The package's editorial purpose is retained: expose the unsupported inference at the point where it occurs. Its inaccurate mechanisms are not adopted. Chapter 5 and the source notes distinguish what the cited work establishes from the framework's proposed interpretation.</w:t>
      </w:r>
    </w:p>
    <w:p>
      <w:pPr/>
      <w:r>
        <w:rPr/>
        <w:t>Use the physics without making the name of a principle do the work of a model.</w:t>
      </w:r>
    </w:p>
    <w:p>
      <w:pPr>
        <w:pStyle w:val="Heading3"/>
      </w:pPr>
      <w:bookmarkStart w:id="240" w:name="v3_l442"/>
      <w:r>
        <w:rPr>
          <w:sz w:val="26"/>
        </w:rPr>
        <w:t>4 The revised five-volume relationship</w:t>
      </w:r>
      <w:bookmarkEnd w:id="240"/>
    </w:p>
    <w:p>
      <w:pPr/>
      <w:r>
        <w:rPr/>
        <w:t>Volume 1 separates energy, entropy, information, registration and relational evaluation. It does not establish a single calibrated currency for every relationship. Volume 2 distinguishes physiological observations and reported difficulty from physical expenditure; it does not validate Mz, a clinical mechanism of grief or a biomarker of sincerity. Volume 4 treats substrate and outcome comparisons as problems to specify, not a universal efficiency ranking.</w:t>
      </w:r>
    </w:p>
    <w:p>
      <w:pPr/>
      <w:r>
        <w:rPr/>
        <w:t>Volume 3 must remain compatible with those distinctions. The physical cost of an implemented process does not settle its benefit, significance or experiential character. A history containing relational systems does not show that thermodynamics specifically selects relational value. The Observation Split can motivate a comparison between an intended act and its observed result; it is not a cosmological theorem about every entropy-producing process.</w:t>
      </w:r>
    </w:p>
    <w:p>
      <w:pPr/>
      <w:r>
        <w:rPr/>
        <w:t>Volume 5 distinguishes cosmological entropy inventories, accessible resources, conditional horizon results and information-recovery tasks. It does not restore a universal relational budget or certify the framework's dark-sector interpretations. WP-19, DFQ-001, the MEPP Assessment Note and the Cosmological Entropy Session findings remain separate historical documents. Where their claims rely on the former universal progression, that reliance is an open dependency, not a result rescued by this collection.</w:t>
      </w:r>
    </w:p>
    <w:p>
      <w:pPr>
        <w:pStyle w:val="Heading3"/>
      </w:pPr>
      <w:bookmarkStart w:id="241" w:name="v3_l450"/>
      <w:r>
        <w:rPr>
          <w:sz w:val="26"/>
        </w:rPr>
        <w:t>5 A research question rather than a destination</w:t>
      </w:r>
      <w:bookmarkEnd w:id="241"/>
    </w:p>
    <w:p>
      <w:pPr/>
      <w:r>
        <w:rPr/>
        <w:t>A productive next step would select one proposed bridge. It would define the system and its boundaries, the relevant observations, plausible alternatives and a result that would count against the proposal. A resource measure, a prediction measure and a relational outcome should remain distinguishable even when a study investigates their relationship.</w:t>
      </w:r>
    </w:p>
    <w:p>
      <w:pPr/>
      <w:r>
        <w:rPr/>
        <w:t>This volume does not claim novelty for such an approach or supply a finished study protocol. It identifies the missing work. A failed proposed bridge should be allowed to fail; it must not survive only by retreating into metaphor whenever its measurements disagree.</w:t>
      </w:r>
    </w:p>
    <w:p>
      <w:pPr/>
      <w:r>
        <w:rPr/>
        <w:t>The founding line about love and entropy remains part of the framework's history. As a motivating image, it asks what people invest and what their investment does. It does not supply a universal entropy inequality, require sacrifice or establish that care is more valuable when it costs more.</w:t>
      </w:r>
    </w:p>
    <w:p>
      <w:pPr/>
      <w:r>
        <w:rPr/>
        <w:t>The question that remains is ambitious enough: under specified conditions, what helps a system develop and sustain a connection, and how do physical constraints participate in that history? Answering it will require more than arranging the universe's history into a story that ends with us.</w:t>
      </w:r>
    </w:p>
    <w:p>
      <w:pPr>
        <w:pStyle w:val="Heading3"/>
      </w:pPr>
      <w:bookmarkStart w:id="242" w:name="v3_l460"/>
      <w:r>
        <w:rPr>
          <w:sz w:val="26"/>
        </w:rPr>
        <w:t>Framework cross references</w:t>
      </w:r>
      <w:bookmarkEnd w:id="242"/>
    </w:p>
    <w:p>
      <w:pPr>
        <w:pStyle w:val="ListBullet"/>
      </w:pPr>
      <w:r>
        <w:rPr/>
        <w:t>WP-19 Sections 9–13 supplies historical source material for the Progression; not independently revised here.</w:t>
      </w:r>
    </w:p>
    <w:p>
      <w:pPr>
        <w:pStyle w:val="ListBullet"/>
      </w:pPr>
      <w:r>
        <w:rPr/>
        <w:t>The MEPP Assessment Note supplies the earlier internal classification; its applications are not automatically validated.</w:t>
      </w:r>
    </w:p>
    <w:p>
      <w:pPr>
        <w:pStyle w:val="ListBullet"/>
      </w:pPr>
      <w:r>
        <w:rPr/>
        <w:t>Cosmological Entropy Session finding A5 supplies “process with attractors, not entity with goals” as a framework formulation; a physical attractor still requires a specified model.</w:t>
      </w:r>
    </w:p>
    <w:p>
      <w:pPr>
        <w:pStyle w:val="ListBullet"/>
      </w:pPr>
      <w:r>
        <w:rPr/>
        <w:t>DB-01 supplies the scale-invariance defense; the claimed support from this volume is withdrawn pending its own evidentiary assessment.</w:t>
      </w:r>
    </w:p>
    <w:p>
      <w:pPr>
        <w:pStyle w:val="ListBullet"/>
      </w:pPr>
      <w:r>
        <w:rPr/>
        <w:t>Revised Volume 1 Chapter 7 distinguishes candidate acts, qualifying registration and evaluative sign. Its local variables and conditions must not be silently replaced by cosmic analogies.</w:t>
      </w:r>
    </w:p>
    <w:p>
      <w:pPr>
        <w:pStyle w:val="ListBullet"/>
      </w:pPr>
      <w:r>
        <w:rPr/>
        <w:t>Revised Volumes 2 and 4 supply project continuity on biological observations, physical resources and outcomes, not external validation.</w:t>
      </w:r>
    </w:p>
    <w:p>
      <w:pPr>
        <w:pStyle w:val="ListBullet"/>
      </w:pPr>
      <w:r>
        <w:rPr/>
        <w:t>The scientific sources associated with Chaisson, England, Kolchinsky and Wolpert, Still, Carroll, Anderson, Chvykov and MEPP are identified and assessed in the preceding chapters and source notes. Historical shorthand citations are not treated as proof of the framework's applications.</w:t>
      </w:r>
    </w:p>
    <w:p>
      <w:pPr>
        <w:pStyle w:val="ListBullet"/>
      </w:pPr>
      <w:r>
        <w:rPr/>
        <w:t>The Seven Categorical Gaps remain an internal checklist. Their use does not certify that a claim has met its burden of evidence.</w:t>
      </w:r>
    </w:p>
    <w:p>
      <w:pPr>
        <w:pStyle w:val="Heading2"/>
        <w:pageBreakBefore/>
        <w:spacing w:before="280" w:after="220"/>
      </w:pPr>
      <w:bookmarkStart w:id="243" w:name="v3_l471"/>
      <w:r>
        <w:rPr>
          <w:sz w:val="36"/>
        </w:rPr>
        <w:t>Physics reference group P</w:t>
      </w:r>
      <w:bookmarkEnd w:id="243"/>
    </w:p>
    <w:p>
      <w:pPr>
        <w:pStyle w:val="Reference"/>
      </w:pPr>
      <w:r>
        <w:rPr/>
        <w:t>Verified on 28 October 2026. These references support the stated bounded claims, not a consensus around the Trinket Soul Framework. Publisher identifiers refer to the published works; accessible author copies are identified separately. The two Chaisson articles are the research program author's syntheses, not independent replications. Martyushev is a review advocating a position. Carroll is primary author exposition of his framing, not an empirical attractor study.</w:t>
      </w:r>
    </w:p>
    <w:p>
      <w:pPr>
        <w:pStyle w:val="Heading3"/>
      </w:pPr>
      <w:bookmarkStart w:id="244" w:name="v3_l475"/>
      <w:r>
        <w:rPr>
          <w:sz w:val="26"/>
        </w:rPr>
        <w:t>P01 Chaisson 2014</w:t>
      </w:r>
      <w:bookmarkEnd w:id="244"/>
    </w:p>
    <w:p>
      <w:pPr>
        <w:pStyle w:val="Reference"/>
      </w:pPr>
      <w:r>
        <w:rPr/>
        <w:t xml:space="preserve">Chaisson, E. J. (2014). The Natural Science Underlying Big History. </w:t>
      </w:r>
      <w:r>
        <w:rPr>
          <w:i/>
        </w:rPr>
        <w:t>The Scientific World Journal</w:t>
      </w:r>
      <w:r>
        <w:rPr/>
        <w:t xml:space="preserve">, 2014, 384912. </w:t>
      </w:r>
      <w:hyperlink r:id="rId123">
        <w:r>
          <w:rPr>
            <w:color w:val="000000"/>
            <w:u w:val="single"/>
          </w:rPr>
          <w:t xml:space="preserve">Published article</w:t>
        </w:r>
      </w:hyperlink>
      <w:r>
        <w:rPr/>
        <w:t>.</w:t>
      </w:r>
    </w:p>
    <w:p>
      <w:pPr>
        <w:pStyle w:val="Reference"/>
      </w:pPr>
      <w:r>
        <w:rPr>
          <w:b/>
        </w:rPr>
        <w:t>Verified locations:</w:t>
      </w:r>
      <w:r>
        <w:rPr/>
        <w:t xml:space="preserve"> definition and qualifications in §3; human brain in §4.6.2; society numerator and human-mass-only denominator in §4.7.1. Use for reporting the author's proposed metric and historical estimates, not an established universal complexity scale. Chapter 2 numeric comparison and Chapters 1/3 cross-summary may cite this with that attribution.</w:t>
      </w:r>
    </w:p>
    <w:p>
      <w:pPr>
        <w:pStyle w:val="Heading3"/>
      </w:pPr>
      <w:bookmarkStart w:id="245" w:name="v3_l481"/>
      <w:r>
        <w:rPr>
          <w:sz w:val="26"/>
        </w:rPr>
        <w:t>P02 Chaisson 2015</w:t>
      </w:r>
      <w:bookmarkEnd w:id="245"/>
    </w:p>
    <w:p>
      <w:pPr>
        <w:pStyle w:val="Reference"/>
      </w:pPr>
      <w:r>
        <w:rPr/>
        <w:t xml:space="preserve">Chaisson, E. J. (2015). Energy Flows in Low-Entropy Complex Systems. </w:t>
      </w:r>
      <w:r>
        <w:rPr>
          <w:i/>
        </w:rPr>
        <w:t>Entropy</w:t>
      </w:r>
      <w:r>
        <w:rPr/>
        <w:t xml:space="preserve">, 17(12), 8007–8018. </w:t>
      </w:r>
      <w:hyperlink r:id="rId124">
        <w:r>
          <w:rPr>
            <w:color w:val="000000"/>
            <w:u w:val="single"/>
          </w:rPr>
          <w:t xml:space="preserve">DOI</w:t>
        </w:r>
      </w:hyperlink>
      <w:r>
        <w:rPr/>
        <w:t xml:space="preserve">. </w:t>
      </w:r>
      <w:hyperlink r:id="rId125">
        <w:r>
          <w:rPr>
            <w:color w:val="000000"/>
            <w:u w:val="single"/>
          </w:rPr>
          <w:t xml:space="preserve">Author-hosted published PDF</w:t>
        </w:r>
      </w:hyperlink>
      <w:r>
        <w:rPr/>
        <w:t>.</w:t>
      </w:r>
    </w:p>
    <w:p>
      <w:pPr>
        <w:pStyle w:val="Reference"/>
      </w:pPr>
      <w:r>
        <w:rPr>
          <w:b/>
        </w:rPr>
        <w:t>Verified locations:</w:t>
      </w:r>
      <w:r>
        <w:rPr/>
        <w:t xml:space="preserve"> §§1, 3–5, especially §4 unit conversion and Sun/body/society examples. Use for the energy-versus-entropy distinction and the program's own scope. This is explicitly a review. The arXiv author manuscript was also checked but has placeholder journal pagination; cite the published PDF above.</w:t>
      </w:r>
    </w:p>
    <w:p>
      <w:pPr>
        <w:pStyle w:val="Heading3"/>
      </w:pPr>
      <w:bookmarkStart w:id="246" w:name="v3_l487"/>
      <w:r>
        <w:rPr>
          <w:sz w:val="26"/>
        </w:rPr>
        <w:t>P03 England 2013</w:t>
      </w:r>
      <w:bookmarkEnd w:id="246"/>
    </w:p>
    <w:p>
      <w:pPr>
        <w:pStyle w:val="Reference"/>
      </w:pPr>
      <w:r>
        <w:rPr/>
        <w:t xml:space="preserve">England, J. L. (2013). Statistical physics of self-replication. </w:t>
      </w:r>
      <w:r>
        <w:rPr>
          <w:i/>
        </w:rPr>
        <w:t>The Journal of Chemical Physics</w:t>
      </w:r>
      <w:r>
        <w:rPr/>
        <w:t xml:space="preserve">, 139, 121923. </w:t>
      </w:r>
      <w:hyperlink r:id="rId126">
        <w:r>
          <w:rPr>
            <w:color w:val="000000"/>
            <w:u w:val="single"/>
          </w:rPr>
          <w:t xml:space="preserve">DOI</w:t>
        </w:r>
      </w:hyperlink>
      <w:r>
        <w:rPr/>
        <w:t xml:space="preserve">. </w:t>
      </w:r>
      <w:hyperlink r:id="rId127">
        <w:r>
          <w:rPr>
            <w:color w:val="000000"/>
            <w:u w:val="single"/>
          </w:rPr>
          <w:t xml:space="preserve">Author-hosted published PDF</w:t>
        </w:r>
      </w:hyperlink>
      <w:r>
        <w:rPr/>
        <w:t>.</w:t>
      </w:r>
    </w:p>
    <w:p>
      <w:pPr>
        <w:pStyle w:val="Reference"/>
      </w:pPr>
      <w:r>
        <w:rPr>
          <w:b/>
        </w:rPr>
        <w:t>Verified locations:</w:t>
      </w:r>
      <w:r>
        <w:rPr/>
        <w:t xml:space="preserve"> macroscopic irreversibility, equations (8) and (10); qualifications surrounding equation (11); replication examples. Original theory with empirical-parameter applications, not an origin-of-life experiment. Supports a bound, not a universal ranking of dissipators. Appropriate for Chapters 1–3 and 5 where the distinction is explicit.</w:t>
      </w:r>
    </w:p>
    <w:p>
      <w:pPr>
        <w:pStyle w:val="Heading3"/>
      </w:pPr>
      <w:bookmarkStart w:id="247" w:name="v3_l493"/>
      <w:r>
        <w:rPr>
          <w:sz w:val="26"/>
        </w:rPr>
        <w:t>P04 Perunov Marsland and England 2016</w:t>
      </w:r>
      <w:bookmarkEnd w:id="247"/>
    </w:p>
    <w:p>
      <w:pPr>
        <w:pStyle w:val="Reference"/>
      </w:pPr>
      <w:r>
        <w:rPr/>
        <w:t xml:space="preserve">Perunov, N., Marsland, R. A., and England, J. L. (2016). Statistical Physics of Adaptation. </w:t>
      </w:r>
      <w:r>
        <w:rPr>
          <w:i/>
        </w:rPr>
        <w:t>Physical Review X</w:t>
      </w:r>
      <w:r>
        <w:rPr/>
        <w:t xml:space="preserve">, 6, 021036. </w:t>
      </w:r>
      <w:hyperlink r:id="rId128">
        <w:r>
          <w:rPr>
            <w:color w:val="000000"/>
            <w:u w:val="single"/>
          </w:rPr>
          <w:t xml:space="preserve">DOI</w:t>
        </w:r>
      </w:hyperlink>
      <w:r>
        <w:rPr/>
        <w:t xml:space="preserve">. </w:t>
      </w:r>
      <w:hyperlink r:id="rId129">
        <w:r>
          <w:rPr>
            <w:color w:val="000000"/>
            <w:u w:val="single"/>
          </w:rPr>
          <w:t xml:space="preserve">Author-hosted published PDF</w:t>
        </w:r>
      </w:hyperlink>
      <w:r>
        <w:rPr/>
        <w:t xml:space="preserve">. </w:t>
      </w:r>
      <w:hyperlink r:id="rId130">
        <w:r>
          <w:rPr>
            <w:color w:val="000000"/>
            <w:u w:val="single"/>
          </w:rPr>
          <w:t xml:space="preserve">MIT repository record</w:t>
        </w:r>
      </w:hyperlink>
      <w:r>
        <w:rPr/>
        <w:t>.</w:t>
      </w:r>
    </w:p>
    <w:p>
      <w:pPr>
        <w:pStyle w:val="Reference"/>
      </w:pPr>
      <w:r>
        <w:rPr>
          <w:b/>
        </w:rPr>
        <w:t>Verified locations:</w:t>
      </w:r>
      <w:r>
        <w:rPr/>
        <w:t xml:space="preserve"> introduction; generalized outcome relation, equations (10)–(11); discussion of cyclical dissipation; illustrative driven-landscape and replicator examples. Original theoretical analysis and models. Do not merge its finite-time formation-history result with England's 2013 bound or equate it with a maximum steady-state entropy-production law. Supports Chapters 1–3 and 5 cross-summary only at that scope.</w:t>
      </w:r>
    </w:p>
    <w:p>
      <w:pPr>
        <w:pStyle w:val="Heading3"/>
      </w:pPr>
      <w:bookmarkStart w:id="248" w:name="v3_l499"/>
      <w:r>
        <w:rPr>
          <w:sz w:val="26"/>
        </w:rPr>
        <w:t>P05 Kolchinsky and Wolpert 2018</w:t>
      </w:r>
      <w:bookmarkEnd w:id="248"/>
    </w:p>
    <w:p>
      <w:pPr>
        <w:pStyle w:val="Reference"/>
      </w:pPr>
      <w:r>
        <w:rPr/>
        <w:t xml:space="preserve">Kolchinsky, A., and Wolpert, D. H. (2018). Semantic information, autonomous agency and non-equilibrium statistical physics. </w:t>
      </w:r>
      <w:r>
        <w:rPr>
          <w:i/>
        </w:rPr>
        <w:t>Interface Focus</w:t>
      </w:r>
      <w:r>
        <w:rPr/>
        <w:t xml:space="preserve">, 8, 20180041. </w:t>
      </w:r>
      <w:hyperlink r:id="rId36">
        <w:r>
          <w:rPr>
            <w:color w:val="000000"/>
            <w:u w:val="single"/>
          </w:rPr>
          <w:t xml:space="preserve">DOI</w:t>
        </w:r>
      </w:hyperlink>
      <w:r>
        <w:rPr/>
        <w:t xml:space="preserve">. </w:t>
      </w:r>
      <w:hyperlink r:id="rId28">
        <w:r>
          <w:rPr>
            <w:color w:val="000000"/>
            <w:u w:val="single"/>
          </w:rPr>
          <w:t xml:space="preserve">Author-hosted published PDF</w:t>
        </w:r>
      </w:hyperlink>
      <w:r>
        <w:rPr/>
        <w:t xml:space="preserve">. </w:t>
      </w:r>
      <w:hyperlink r:id="rId37">
        <w:r>
          <w:rPr>
            <w:color w:val="000000"/>
            <w:u w:val="single"/>
          </w:rPr>
          <w:t xml:space="preserve">Author manuscript</w:t>
        </w:r>
      </w:hyperlink>
      <w:r>
        <w:rPr/>
        <w:t>.</w:t>
      </w:r>
    </w:p>
    <w:p>
      <w:pPr>
        <w:pStyle w:val="Reference"/>
      </w:pPr>
      <w:r>
        <w:rPr>
          <w:b/>
        </w:rPr>
        <w:t>Verified locations:</w:t>
      </w:r>
      <w:r>
        <w:rPr/>
        <w:t xml:space="preserve"> §4, equation (4.1); §5.1 interventions and stored information; §5.1.3, equation (5.12); §5.2; appendix B. In the arXiv version, the corresponding viability/multiplier equations are (2)/(15). Original formalism and toy models; no validation of </w:t>
      </w:r>
      <m:oMath>
        <m:sSub>
          <m:e>
            <m:r>
              <m:rPr>
                <m:sty m:val="i"/>
              </m:rPr>
              <w:rPr>
                <w:rFonts w:ascii="Latin Modern Math" w:hAnsi="Latin Modern Math"/>
              </w:rPr>
              <m:t xml:space="preserve">V</m:t>
            </m:r>
          </m:e>
          <m:sub>
            <m:r>
              <m:rPr>
                <m:nor m:val="1"/>
                <m:sty m:val="p"/>
              </m:rPr>
              <w:rPr>
                <w:rFonts w:ascii="Latin Modern Math" w:hAnsi="Latin Modern Math"/>
              </w:rPr>
              <m:t xml:space="preserve">rel</m:t>
            </m:r>
          </m:sub>
        </m:sSub>
      </m:oMath>
      <w:r>
        <w:rPr/>
        <w:t>, relational entropy currencies, or a new unreciprocated regime. Main-text definitions control over ambiguous OCR or appendix notation.</w:t>
      </w:r>
    </w:p>
    <w:p>
      <w:pPr>
        <w:pStyle w:val="Heading3"/>
      </w:pPr>
      <w:bookmarkStart w:id="249" w:name="v3_l505"/>
      <w:r>
        <w:rPr>
          <w:sz w:val="26"/>
        </w:rPr>
        <w:t>P06 Still and colleagues 2012</w:t>
      </w:r>
      <w:bookmarkEnd w:id="249"/>
    </w:p>
    <w:p>
      <w:pPr>
        <w:pStyle w:val="Reference"/>
      </w:pPr>
      <w:r>
        <w:rPr/>
        <w:t xml:space="preserve">Still, S., Sivak, D. A., Bell, A. J., and Crooks, G. E. (2012). Thermodynamics of Prediction. </w:t>
      </w:r>
      <w:r>
        <w:rPr>
          <w:i/>
        </w:rPr>
        <w:t>Physical Review Letters</w:t>
      </w:r>
      <w:r>
        <w:rPr/>
        <w:t xml:space="preserve">, 109, 120604. </w:t>
      </w:r>
      <w:hyperlink r:id="rId131">
        <w:r>
          <w:rPr>
            <w:color w:val="000000"/>
            <w:u w:val="single"/>
          </w:rPr>
          <w:t xml:space="preserve">DOI</w:t>
        </w:r>
      </w:hyperlink>
      <w:r>
        <w:rPr/>
        <w:t xml:space="preserve">. </w:t>
      </w:r>
      <w:hyperlink r:id="rId132">
        <w:r>
          <w:rPr>
            <w:color w:val="000000"/>
            <w:u w:val="single"/>
          </w:rPr>
          <w:t xml:space="preserve">Author manuscript v3</w:t>
        </w:r>
      </w:hyperlink>
      <w:r>
        <w:rPr/>
        <w:t xml:space="preserve">. </w:t>
      </w:r>
      <w:hyperlink r:id="rId133">
        <w:r>
          <w:rPr>
            <w:color w:val="000000"/>
            <w:u w:val="single"/>
          </w:rPr>
          <w:t xml:space="preserve">Publisher accepted-manuscript record</w:t>
        </w:r>
      </w:hyperlink>
      <w:r>
        <w:rPr/>
        <w:t>.</w:t>
      </w:r>
    </w:p>
    <w:p>
      <w:pPr>
        <w:pStyle w:val="Reference"/>
      </w:pPr>
      <w:r>
        <w:rPr>
          <w:b/>
        </w:rPr>
        <w:t>Verified locations:</w:t>
      </w:r>
      <w:r>
        <w:rPr/>
        <w:t xml:space="preserve"> problem setup; equations (13)–(21), particularly driving-step equality (14), whole-protocol inequality (18), and erasure account (19). Original theory. Retain no-feedback, equilibrium preparation, bath, response, and relaxation assumptions. Does not supply a per-stage cognitive erasure cost or establish that a human relational processor is optimal. Chapters 1/2 cross-summary may cite it only as a conditional result.</w:t>
      </w:r>
    </w:p>
    <w:p>
      <w:pPr>
        <w:pStyle w:val="Heading3"/>
      </w:pPr>
      <w:bookmarkStart w:id="250" w:name="v3_l511"/>
      <w:r>
        <w:rPr>
          <w:sz w:val="26"/>
        </w:rPr>
        <w:t>P07 Chvykov and colleagues 2021</w:t>
      </w:r>
      <w:bookmarkEnd w:id="250"/>
    </w:p>
    <w:p>
      <w:pPr>
        <w:pStyle w:val="Reference"/>
      </w:pPr>
      <w:r>
        <w:rPr/>
        <w:t xml:space="preserve">Chvykov, P., Berrueta, T. A., Vardhan, A., Savoie, W., Samland, A., Murphey, T. D., Wiesenfeld, K., Goldman, D. I., and England, J. L. (2021). Low rattling: A predictive principle for self-organization in active collectives. </w:t>
      </w:r>
      <w:r>
        <w:rPr>
          <w:i/>
        </w:rPr>
        <w:t>Science</w:t>
      </w:r>
      <w:r>
        <w:rPr/>
        <w:t xml:space="preserve">, 371(6524), 90–95. </w:t>
      </w:r>
      <w:hyperlink r:id="rId134">
        <w:r>
          <w:rPr>
            <w:color w:val="000000"/>
            <w:u w:val="single"/>
          </w:rPr>
          <w:t xml:space="preserve">DOI</w:t>
        </w:r>
      </w:hyperlink>
      <w:r>
        <w:rPr/>
        <w:t xml:space="preserve">. </w:t>
      </w:r>
      <w:hyperlink r:id="rId135">
        <w:r>
          <w:rPr>
            <w:color w:val="000000"/>
            <w:u w:val="single"/>
          </w:rPr>
          <w:t xml:space="preserve">Accepted manuscript and supplement</w:t>
        </w:r>
      </w:hyperlink>
      <w:r>
        <w:rPr/>
        <w:t xml:space="preserve">. </w:t>
      </w:r>
      <w:hyperlink r:id="rId136">
        <w:r>
          <w:rPr>
            <w:color w:val="000000"/>
            <w:u w:val="single"/>
          </w:rPr>
          <w:t xml:space="preserve">PDF</w:t>
        </w:r>
      </w:hyperlink>
      <w:r>
        <w:rPr/>
        <w:t>.</w:t>
      </w:r>
    </w:p>
    <w:p>
      <w:pPr>
        <w:pStyle w:val="Reference"/>
      </w:pPr>
      <w:r>
        <w:rPr>
          <w:b/>
        </w:rPr>
        <w:t>Verified locations:</w:t>
      </w:r>
      <w:r>
        <w:rPr/>
        <w:t xml:space="preserve"> main equations (1)–(3), assumptions preceding them, robot experiments, and supplementary counterexamples. Theory, simulations, and robotic active-matter experiments. Not an entropy-production-variance result or a universal stabilization law. Supports corrected Chapters 2/5 and the Chapter 6 summary.</w:t>
      </w:r>
    </w:p>
    <w:p>
      <w:pPr>
        <w:pStyle w:val="Heading3"/>
      </w:pPr>
      <w:bookmarkStart w:id="251" w:name="v3_l517"/>
      <w:r>
        <w:rPr>
          <w:sz w:val="26"/>
        </w:rPr>
        <w:t>P08 Martyushev 2021</w:t>
      </w:r>
      <w:bookmarkEnd w:id="251"/>
    </w:p>
    <w:p>
      <w:pPr>
        <w:pStyle w:val="Reference"/>
      </w:pPr>
      <w:r>
        <w:rPr/>
        <w:t xml:space="preserve">Martyushev, L. M. (2021). Maximum entropy production principle: history and current status. </w:t>
      </w:r>
      <w:r>
        <w:rPr>
          <w:i/>
        </w:rPr>
        <w:t>Physics–Uspekhi</w:t>
      </w:r>
      <w:r>
        <w:rPr/>
        <w:t xml:space="preserve">, 64(6), 558–583. </w:t>
      </w:r>
      <w:hyperlink r:id="rId137">
        <w:r>
          <w:rPr>
            <w:color w:val="000000"/>
            <w:u w:val="single"/>
          </w:rPr>
          <w:t xml:space="preserve">DOI</w:t>
        </w:r>
      </w:hyperlink>
      <w:r>
        <w:rPr/>
        <w:t xml:space="preserve">. </w:t>
      </w:r>
      <w:hyperlink r:id="rId138">
        <w:r>
          <w:rPr>
            <w:color w:val="000000"/>
            <w:u w:val="single"/>
          </w:rPr>
          <w:t xml:space="preserve">Journal-hosted English PDF</w:t>
        </w:r>
      </w:hyperlink>
      <w:r>
        <w:rPr/>
        <w:t>.</w:t>
      </w:r>
    </w:p>
    <w:p>
      <w:pPr>
        <w:pStyle w:val="Reference"/>
      </w:pPr>
      <w:r>
        <w:rPr>
          <w:b/>
        </w:rPr>
        <w:t>Verified locations:</w:t>
      </w:r>
      <w:r>
        <w:rPr/>
        <w:t xml:space="preserve"> §3 formulation and justification; §3.1 locality; §3.2 complexity/nonadditivity. Review and advocacy, not a newly established empirical domain map. The author distinguishes local constitutive claims from integral behavior. Its proposed restrictions do not certify applicability to every biological or relational system. Cite in Chapters 2/3/6 as the review's position, not consensus.</w:t>
      </w:r>
    </w:p>
    <w:p>
      <w:pPr>
        <w:pStyle w:val="Heading3"/>
      </w:pPr>
      <w:bookmarkStart w:id="252" w:name="v3_l523"/>
      <w:r>
        <w:rPr>
          <w:sz w:val="26"/>
        </w:rPr>
        <w:t>P09 Carroll 2014</w:t>
      </w:r>
      <w:bookmarkEnd w:id="252"/>
    </w:p>
    <w:p>
      <w:pPr>
        <w:pStyle w:val="Reference"/>
      </w:pPr>
      <w:r>
        <w:rPr/>
        <w:t xml:space="preserve">Carroll, S. (2014, February 3). Reality, Pushed From Behind. </w:t>
      </w:r>
      <w:hyperlink r:id="rId139">
        <w:r>
          <w:rPr>
            <w:color w:val="000000"/>
            <w:u w:val="single"/>
          </w:rPr>
          <w:t xml:space="preserve">Author's essay</w:t>
        </w:r>
      </w:hyperlink>
      <w:r>
        <w:rPr/>
        <w:t>.</w:t>
      </w:r>
    </w:p>
    <w:p>
      <w:pPr>
        <w:pStyle w:val="Reference"/>
      </w:pPr>
      <w:r>
        <w:rPr>
          <w:b/>
        </w:rPr>
        <w:t>Verified locations:</w:t>
      </w:r>
      <w:r>
        <w:rPr/>
        <w:t xml:space="preserve"> essay body before comments, especially the Past Hypothesis discussion and proposed term aphormeology. Primary author exposition of a causal/philosophical framing, not peer-reviewed empirical evidence of cosmic attractors. Use across the volume as framing. The Past Hypothesis is not attributed as Carroll's invention. The 2016 book was not used to supply an unverified page citation.</w:t>
      </w:r>
    </w:p>
    <w:p>
      <w:pPr>
        <w:pStyle w:val="Heading2"/>
        <w:pageBreakBefore/>
        <w:spacing w:before="280" w:after="220"/>
      </w:pPr>
      <w:bookmarkStart w:id="253" w:name="v3_l529"/>
      <w:r>
        <w:rPr>
          <w:sz w:val="36"/>
        </w:rPr>
        <w:t>Progression references and evidence limits</w:t>
      </w:r>
      <w:bookmarkEnd w:id="253"/>
    </w:p>
    <w:p>
      <w:pPr/>
      <w:r>
        <w:rPr/>
        <w:t>Checked 28 October 2026. Q references support Chapters 3 and 4; P references appear in the preceding group. The original manuscript and the other volumes are not external scientific validation. No new experiments, clinical measurements, or deployment inspection were conducted.</w:t>
      </w:r>
    </w:p>
    <w:p>
      <w:pPr>
        <w:pStyle w:val="Heading3"/>
      </w:pPr>
      <w:bookmarkStart w:id="254" w:name="v3_l533"/>
      <w:r>
        <w:rPr>
          <w:sz w:val="26"/>
        </w:rPr>
        <w:t>Q01 Low entropy cosmological background</w:t>
      </w:r>
      <w:bookmarkEnd w:id="254"/>
    </w:p>
    <w:p>
      <w:pPr/>
      <w:r>
        <w:rPr/>
        <w:t xml:space="preserve">Sean M. Carroll and Jennifer Chen. </w:t>
      </w:r>
      <w:r>
        <w:rPr>
          <w:b/>
        </w:rPr>
        <w:t>Spontaneous Inflation and the Origin of the Arrow of Time</w:t>
      </w:r>
      <w:r>
        <w:rPr/>
        <w:t xml:space="preserve"> (2004), arXiv:hep-th/0410270. </w:t>
      </w:r>
      <w:hyperlink r:id="rId13">
        <w:r>
          <w:rPr>
            <w:color w:val="000000"/>
            <w:u w:val="single"/>
          </w:rPr>
          <w:t xml:space="preserve">Author paper</w:t>
        </w:r>
      </w:hyperlink>
      <w:r>
        <w:rPr/>
        <w:t xml:space="preserve">; </w:t>
      </w:r>
      <w:hyperlink r:id="rId140">
        <w:r>
          <w:rPr>
            <w:color w:val="000000"/>
            <w:u w:val="single"/>
          </w:rPr>
          <w:t xml:space="preserve">full text</w:t>
        </w:r>
      </w:hyperlink>
      <w:r>
        <w:rPr/>
        <w:t>.</w:t>
      </w:r>
    </w:p>
    <w:p>
      <w:pPr/>
      <w:r>
        <w:rPr>
          <w:b/>
        </w:rPr>
        <w:t>Type and locator:</w:t>
      </w:r>
      <w:r>
        <w:rPr/>
        <w:t xml:space="preserve"> Original theoretical proposal, §1, printed pp. 3–4. Full text available; relevant introductory discussion inspected. It distinguishes ordinary matter/radiation entropy from entropy associated with gravitational collapse and emphasizes the low-entropy boundary-condition problem.</w:t>
      </w:r>
    </w:p>
    <w:p>
      <w:pPr/>
      <w:r>
        <w:rPr>
          <w:b/>
        </w:rPr>
        <w:t>Use and limit:</w:t>
      </w:r>
      <w:r>
        <w:rPr/>
        <w:t xml:space="preserve"> Supports the low-entropy-past/gravity distinction, not a finite universal token allowance. The paper's proposed spontaneous-inflation explanation is not imported or described as established. It supplies no empirical ladder from atoms to AI. The recombination description is standard cosmological background, not claimed as a new observation by these authors. The chapter makes no numerical primordial-entropy estimate and no settled gravitational entropy definition.</w:t>
      </w:r>
    </w:p>
    <w:p>
      <w:pPr>
        <w:pStyle w:val="Heading3"/>
      </w:pPr>
      <w:bookmarkStart w:id="255" w:name="v3_l541"/>
      <w:r>
        <w:rPr>
          <w:sz w:val="26"/>
        </w:rPr>
        <w:t>Q02 Solar nuclear energy</w:t>
      </w:r>
      <w:bookmarkEnd w:id="255"/>
    </w:p>
    <w:p>
      <w:pPr/>
      <w:r>
        <w:rPr/>
        <w:t xml:space="preserve">Borexino Collaboration. </w:t>
      </w:r>
      <w:r>
        <w:rPr>
          <w:b/>
        </w:rPr>
        <w:t>Neutrinos from the primary proton–proton fusion process in the Sun.</w:t>
      </w:r>
      <w:r>
        <w:rPr/>
        <w:t xml:space="preserve"> </w:t>
      </w:r>
      <w:r>
        <w:rPr>
          <w:i/>
        </w:rPr>
        <w:t>Nature</w:t>
      </w:r>
      <w:r>
        <w:rPr/>
        <w:t xml:space="preserve"> 512, 383–386 (2014). DOI </w:t>
      </w:r>
      <w:hyperlink r:id="rId141">
        <w:r>
          <w:rPr>
            <w:color w:val="000000"/>
            <w:u w:val="single"/>
          </w:rPr>
          <w:t xml:space="preserve">10.1038/nature13702</w:t>
        </w:r>
      </w:hyperlink>
      <w:r>
        <w:rPr/>
        <w:t>.</w:t>
      </w:r>
    </w:p>
    <w:p>
      <w:pPr/>
      <w:r>
        <w:rPr>
          <w:b/>
        </w:rPr>
        <w:t>Type and locator:</w:t>
      </w:r>
      <w:r>
        <w:rPr/>
        <w:t xml:space="preserve"> Primary neutrino observation; publisher abstract and article metadata inspected. It reports spectral observations of solar pp neutrinos, supporting hydrogen-to-helium fusion as the Sun's principal energy source.</w:t>
      </w:r>
    </w:p>
    <w:p>
      <w:pPr/>
      <w:r>
        <w:rPr>
          <w:b/>
        </w:rPr>
        <w:t>Use and limit:</w:t>
      </w:r>
      <w:r>
        <w:rPr/>
        <w:t xml:space="preserve"> Establishes the nuclear-source distinction. The chapter does not reproduce the paper's percentage estimate as a current universal stellar value. It distinguishes gravitational contraction during formation from sustained main-sequence nuclear luminosity. The conclusion that ordinary terrestrial use of already-emitted sunlight does not increase core fuel use is a physical boundary/causality inference, not an experiment performed in the Borexino paper. No proposed stellar feedback mechanism is supplied by the manuscript.</w:t>
      </w:r>
    </w:p>
    <w:p>
      <w:pPr>
        <w:pStyle w:val="Heading3"/>
      </w:pPr>
      <w:bookmarkStart w:id="256" w:name="v3_l549"/>
      <w:r>
        <w:rPr>
          <w:sz w:val="26"/>
        </w:rPr>
        <w:t>Q03 Carbon production</w:t>
      </w:r>
      <w:bookmarkEnd w:id="256"/>
    </w:p>
    <w:p>
      <w:pPr/>
      <w:r>
        <w:rPr/>
        <w:t xml:space="preserve">Hans O. U. Fynbo et al., ISOLDE Collaboration. </w:t>
      </w:r>
      <w:r>
        <w:rPr>
          <w:b/>
        </w:rPr>
        <w:t>Revised rates for the stellar triple-α process from measurement of 12C nuclear resonances.</w:t>
      </w:r>
      <w:r>
        <w:rPr/>
        <w:t xml:space="preserve"> </w:t>
      </w:r>
      <w:r>
        <w:rPr>
          <w:i/>
        </w:rPr>
        <w:t>Nature</w:t>
      </w:r>
      <w:r>
        <w:rPr/>
        <w:t xml:space="preserve"> 433, 136–139 (2005). DOI </w:t>
      </w:r>
      <w:hyperlink r:id="rId142">
        <w:r>
          <w:rPr>
            <w:color w:val="000000"/>
            <w:u w:val="single"/>
          </w:rPr>
          <w:t xml:space="preserve">10.1038/nature03219</w:t>
        </w:r>
      </w:hyperlink>
      <w:r>
        <w:rPr/>
        <w:t>.</w:t>
      </w:r>
    </w:p>
    <w:p>
      <w:pPr/>
      <w:r>
        <w:rPr>
          <w:b/>
        </w:rPr>
        <w:t>Type and locator:</w:t>
      </w:r>
      <w:r>
        <w:rPr/>
        <w:t xml:space="preserve"> Primary nuclear-resonance measurement and derived reaction-rate analysis; publisher-indexed abstract and metadata inspected. A subsequent direct publisher open encountered an inaccessible redirect.</w:t>
      </w:r>
    </w:p>
    <w:p>
      <w:pPr/>
      <w:r>
        <w:rPr>
          <w:b/>
        </w:rPr>
        <w:t>Use and limit:</w:t>
      </w:r>
      <w:r>
        <w:rPr/>
        <w:t xml:space="preserve"> Supports the identity of the triple-alpha helium-burning route to carbon-12. It is not used for a numerical present-day reaction rate, all stellar stages, or the complete origin of every element. The package's proton–proton-chain-to-carbon assertion is a factual error and is replaced, not qualified as speculative. Q15 supplies a separate reason not to collapse all origins above helium into ordinary stellar fusion waste.</w:t>
      </w:r>
    </w:p>
    <w:p>
      <w:pPr>
        <w:pStyle w:val="Heading3"/>
      </w:pPr>
      <w:bookmarkStart w:id="257" w:name="v3_l557"/>
      <w:r>
        <w:rPr>
          <w:sz w:val="26"/>
        </w:rPr>
        <w:t>Q04 Meteoritic amino acids</w:t>
      </w:r>
      <w:bookmarkEnd w:id="257"/>
    </w:p>
    <w:p>
      <w:pPr/>
      <w:r>
        <w:rPr/>
        <w:t xml:space="preserve">Keith A. Kvenvolden, James G. Lawless, and Cyril Ponnamperuma. </w:t>
      </w:r>
      <w:r>
        <w:rPr>
          <w:b/>
        </w:rPr>
        <w:t>Nonprotein Amino Acids in the Murchison Meteorite.</w:t>
      </w:r>
      <w:r>
        <w:rPr/>
        <w:t xml:space="preserve"> </w:t>
      </w:r>
      <w:r>
        <w:rPr>
          <w:i/>
        </w:rPr>
        <w:t>PNAS</w:t>
      </w:r>
      <w:r>
        <w:rPr/>
        <w:t xml:space="preserve"> 68(2), 486–490 (1971). DOI </w:t>
      </w:r>
      <w:hyperlink r:id="rId143">
        <w:r>
          <w:rPr>
            <w:color w:val="000000"/>
            <w:u w:val="single"/>
          </w:rPr>
          <w:t xml:space="preserve">10.1073/pnas.68.2.486</w:t>
        </w:r>
      </w:hyperlink>
      <w:r>
        <w:rPr/>
        <w:t xml:space="preserve">; </w:t>
      </w:r>
      <w:hyperlink r:id="rId144">
        <w:r>
          <w:rPr>
            <w:color w:val="000000"/>
            <w:u w:val="single"/>
          </w:rPr>
          <w:t xml:space="preserve">primary article at PMC</w:t>
        </w:r>
      </w:hyperlink>
      <w:r>
        <w:rPr/>
        <w:t>.</w:t>
      </w:r>
    </w:p>
    <w:p>
      <w:pPr/>
      <w:r>
        <w:rPr>
          <w:b/>
        </w:rPr>
        <w:t>Type and locator:</w:t>
      </w:r>
      <w:r>
        <w:rPr/>
        <w:t xml:space="preserve"> Primary chemical analysis; abstract and article metadata inspected. Eight nonprotein amino acids were conclusively identified; four additional identifications were tentative.</w:t>
      </w:r>
    </w:p>
    <w:p>
      <w:pPr/>
      <w:r>
        <w:rPr>
          <w:b/>
        </w:rPr>
        <w:t>Use and limit:</w:t>
      </w:r>
      <w:r>
        <w:rPr/>
        <w:t xml:space="preserve"> The reader preserves this difference in confidence. Finding compounds in this meteorite is not direct observation of their formation on a meteorite, proof of their abundance everywhere, or a probability estimate for the origin of life. The full scanned methods/tables were not independently reanalyzed; no new abundance or contamination claim is made. The related 1970 Nature result was found but is not needed as a second evidentiary vote.</w:t>
      </w:r>
    </w:p>
    <w:p>
      <w:pPr>
        <w:pStyle w:val="Heading3"/>
      </w:pPr>
      <w:bookmarkStart w:id="258" w:name="v3_l565"/>
      <w:r>
        <w:rPr>
          <w:sz w:val="26"/>
        </w:rPr>
        <w:t>Q05 Interstellar organic detection</w:t>
      </w:r>
      <w:bookmarkEnd w:id="258"/>
    </w:p>
    <w:p>
      <w:pPr/>
      <w:r>
        <w:rPr/>
        <w:t xml:space="preserve">J. M. Hollis, F. J. Lovas, and P. R. Jewell. </w:t>
      </w:r>
      <w:r>
        <w:rPr>
          <w:b/>
        </w:rPr>
        <w:t>Interstellar Glycolaldehyde: The First Sugar.</w:t>
      </w:r>
      <w:r>
        <w:rPr/>
        <w:t xml:space="preserve"> </w:t>
      </w:r>
      <w:r>
        <w:rPr>
          <w:i/>
        </w:rPr>
        <w:t>Astrophysical Journal Letters</w:t>
      </w:r>
      <w:r>
        <w:rPr/>
        <w:t xml:space="preserve"> 540, L107–L110 (2000). DOI </w:t>
      </w:r>
      <w:hyperlink r:id="rId145">
        <w:r>
          <w:rPr>
            <w:color w:val="000000"/>
            <w:u w:val="single"/>
          </w:rPr>
          <w:t xml:space="preserve">10.1086/312881</w:t>
        </w:r>
      </w:hyperlink>
      <w:r>
        <w:rPr/>
        <w:t xml:space="preserve">. </w:t>
      </w:r>
      <w:hyperlink r:id="rId146">
        <w:r>
          <w:rPr>
            <w:color w:val="000000"/>
            <w:u w:val="single"/>
          </w:rPr>
          <w:t xml:space="preserve">Primary-paper mirror</w:t>
        </w:r>
      </w:hyperlink>
      <w:r>
        <w:rPr/>
        <w:t>.</w:t>
      </w:r>
    </w:p>
    <w:p>
      <w:pPr/>
      <w:r>
        <w:rPr>
          <w:b/>
        </w:rPr>
        <w:t>Type and locator:</w:t>
      </w:r>
      <w:r>
        <w:rPr/>
        <w:t xml:space="preserve"> Primary radio-spectroscopic detection, abstract and §2 Observations and Results. Search-indexed paper text inspected; direct publisher access was robots-blocked and a direct mirror open failed. The available primary text identifies millimetre-wave rotational emission toward Sagittarius B2(N), with observations in May 2000.</w:t>
      </w:r>
    </w:p>
    <w:p>
      <w:pPr/>
      <w:r>
        <w:rPr>
          <w:b/>
        </w:rPr>
        <w:t>Use and limit:</w:t>
      </w:r>
      <w:r>
        <w:rPr/>
        <w:t xml:space="preserve"> The proposed wording is confined to the reported detection and target. It claims neither life nor a universal synthesis route, concentration, or environmental frequency. The paper's use of biomarker terminology is not imported as evidence of biology. No novel spectral reanalysis is claimed.</w:t>
      </w:r>
    </w:p>
    <w:p>
      <w:pPr>
        <w:pStyle w:val="Heading3"/>
      </w:pPr>
      <w:bookmarkStart w:id="259" w:name="v3_l573"/>
      <w:r>
        <w:rPr>
          <w:sz w:val="26"/>
        </w:rPr>
        <w:t>Q06 Adult organ energetics</w:t>
      </w:r>
      <w:bookmarkEnd w:id="259"/>
    </w:p>
    <w:p>
      <w:pPr/>
      <w:r>
        <w:rPr/>
        <w:t xml:space="preserve">ZiMian Wang et al. </w:t>
      </w:r>
      <w:r>
        <w:rPr>
          <w:b/>
        </w:rPr>
        <w:t>Specific metabolic rates of major organs and tissues across adulthood: evaluation by mechanistic model of resting energy expenditure.</w:t>
      </w:r>
      <w:r>
        <w:rPr/>
        <w:t xml:space="preserve"> </w:t>
      </w:r>
      <w:r>
        <w:rPr>
          <w:i/>
        </w:rPr>
        <w:t>American Journal of Clinical Nutrition</w:t>
      </w:r>
      <w:r>
        <w:rPr/>
        <w:t xml:space="preserve"> 92(6), 1369–1377 (2010). DOI </w:t>
      </w:r>
      <w:hyperlink r:id="rId147">
        <w:r>
          <w:rPr>
            <w:color w:val="000000"/>
            <w:u w:val="single"/>
          </w:rPr>
          <w:t xml:space="preserve">10.3945/ajcn.2010.29885</w:t>
        </w:r>
      </w:hyperlink>
      <w:r>
        <w:rPr/>
        <w:t xml:space="preserve">; </w:t>
      </w:r>
      <w:hyperlink r:id="rId148">
        <w:r>
          <w:rPr>
            <w:color w:val="000000"/>
            <w:u w:val="single"/>
          </w:rPr>
          <w:t xml:space="preserve">full primary article</w:t>
        </w:r>
      </w:hyperlink>
      <w:r>
        <w:rPr/>
        <w:t>.</w:t>
      </w:r>
    </w:p>
    <w:p>
      <w:pPr/>
      <w:r>
        <w:rPr>
          <w:b/>
        </w:rPr>
        <w:t>Type and locator:</w:t>
      </w:r>
      <w:r>
        <w:rPr/>
        <w:t xml:space="preserve"> Original secondary analysis of a physiological dataset, </w:t>
      </w:r>
      <m:oMath>
        <m:r>
          <m:rPr>
            <m:sty m:val="i"/>
          </m:rPr>
          <w:rPr>
            <w:rFonts w:ascii="Latin Modern Math" w:hAnsi="Latin Modern Math"/>
          </w:rPr>
          <m:t xml:space="preserve">n</m:t>
        </m:r>
        <m:r>
          <m:rPr>
            <m:nor m:val="1"/>
            <m:sty m:val="p"/>
          </m:rPr>
          <w:rPr>
            <w:rFonts w:ascii="Latin Modern Math" w:hAnsi="Latin Modern Math"/>
          </w:rPr>
          <m:t xml:space="preserve">=131</m:t>
        </m:r>
      </m:oMath>
      <w:r>
        <w:rPr/>
        <w:t xml:space="preserve"> healthy nonobese adults, ages 21–73. Abstract, measurement methods, Tables 2–3, and model description inspected. MRI organ masses and whole-body indirect calorimetry evaluate proposed organ-specific coefficients; these are not direct independent calorimetry measurements of each organ.</w:t>
      </w:r>
    </w:p>
    <w:p>
      <w:pPr/>
      <w:r>
        <w:rPr>
          <w:b/>
        </w:rPr>
        <w:t>Use and limit:</w:t>
      </w:r>
      <w:r>
        <w:rPr/>
        <w:t xml:space="preserve"> Elia's evaluated coefficients include brain 240 and heart/kidneys 440 kcal/(kg·day). Thus the brain is not the highest rate per organ mass in this model. Adult resting conditions matter. The approximate 2%/20% language is consistent with the cohort calculation below, not a universal fraction for children, exercise, every person, or entropy production.</w:t>
      </w:r>
    </w:p>
    <w:p>
      <w:pPr>
        <w:pStyle w:val="Heading3"/>
      </w:pPr>
      <w:bookmarkStart w:id="260" w:name="v3_l581"/>
      <w:r>
        <w:rPr>
          <w:sz w:val="26"/>
        </w:rPr>
        <w:t>Q07 Dated global data centre estimate</w:t>
      </w:r>
      <w:bookmarkEnd w:id="260"/>
    </w:p>
    <w:p>
      <w:pPr/>
      <w:r>
        <w:rPr/>
        <w:t xml:space="preserve">International Energy Agency. </w:t>
      </w:r>
      <w:r>
        <w:rPr>
          <w:b/>
        </w:rPr>
        <w:t>Energy and AI</w:t>
      </w:r>
      <w:r>
        <w:rPr/>
        <w:t xml:space="preserve"> (2025), chapter </w:t>
      </w:r>
      <w:r>
        <w:rPr>
          <w:b/>
        </w:rPr>
        <w:t>Energy demand from AI</w:t>
      </w:r>
      <w:r>
        <w:rPr/>
        <w:t xml:space="preserve">, section </w:t>
      </w:r>
      <w:r>
        <w:rPr>
          <w:b/>
        </w:rPr>
        <w:t>The outlook for energy demand from data centres</w:t>
      </w:r>
      <w:r>
        <w:rPr/>
        <w:t xml:space="preserve">. </w:t>
      </w:r>
      <w:hyperlink r:id="rId149">
        <w:r>
          <w:rPr>
            <w:color w:val="000000"/>
            <w:u w:val="single"/>
          </w:rPr>
          <w:t xml:space="preserve">Primary report chapter</w:t>
        </w:r>
      </w:hyperlink>
      <w:r>
        <w:rPr/>
        <w:t>.</w:t>
      </w:r>
    </w:p>
    <w:p>
      <w:pPr/>
      <w:r>
        <w:rPr>
          <w:b/>
        </w:rPr>
        <w:t>Type and locator:</w:t>
      </w:r>
      <w:r>
        <w:rPr/>
        <w:t xml:space="preserve"> Primary institutional model-based estimate, not a census of individually metered AI workloads. Relevant online section and component definitions inspected. It estimates approximately 415 TWh of worldwide data-centre electricity consumption in calendar 2024; site infrastructure is part of the scope.</w:t>
      </w:r>
    </w:p>
    <w:p>
      <w:pPr/>
      <w:r>
        <w:rPr>
          <w:b/>
        </w:rPr>
        <w:t>Use and limit:</w:t>
      </w:r>
      <w:r>
        <w:rPr/>
        <w:t xml:space="preserve"> The chapter dates the report and estimate explicitly. It does not label 415 TWh as all AI, primary energy, entropy, or W/kg. Future scenarios and uncited current growth claims are omitted. The physical inference that annual energy cannot establish mass-normalized power or entropy production is dimensional, not another conclusion attributed to the IEA.</w:t>
      </w:r>
    </w:p>
    <w:p>
      <w:pPr>
        <w:pStyle w:val="Heading3"/>
      </w:pPr>
      <w:bookmarkStart w:id="261" w:name="v3_l589"/>
      <w:r>
        <w:rPr>
          <w:sz w:val="26"/>
        </w:rPr>
        <w:t>Q08 Task specific neural rhythms</w:t>
      </w:r>
      <w:bookmarkEnd w:id="261"/>
    </w:p>
    <w:p>
      <w:pPr/>
      <w:r>
        <w:rPr/>
        <w:t xml:space="preserve">Niko A. Busch, Julien Dubois, and Rufin VanRullen. </w:t>
      </w:r>
      <w:r>
        <w:rPr>
          <w:b/>
        </w:rPr>
        <w:t>The Phase of Ongoing EEG Oscillations Predicts Visual Perception.</w:t>
      </w:r>
      <w:r>
        <w:rPr/>
        <w:t xml:space="preserve"> </w:t>
      </w:r>
      <w:r>
        <w:rPr>
          <w:i/>
        </w:rPr>
        <w:t>Journal of Neuroscience</w:t>
      </w:r>
      <w:r>
        <w:rPr/>
        <w:t xml:space="preserve"> 29(24), 7869–7876 (2009). DOI </w:t>
      </w:r>
      <w:hyperlink r:id="rId150">
        <w:r>
          <w:rPr>
            <w:color w:val="000000"/>
            <w:u w:val="single"/>
          </w:rPr>
          <w:t xml:space="preserve">10.1523/JNEUROSCI.0113-09.2009</w:t>
        </w:r>
      </w:hyperlink>
      <w:r>
        <w:rPr/>
        <w:t xml:space="preserve">; </w:t>
      </w:r>
      <w:hyperlink r:id="rId151">
        <w:r>
          <w:rPr>
            <w:color w:val="000000"/>
            <w:u w:val="single"/>
          </w:rPr>
          <w:t xml:space="preserve">primary article at PMC</w:t>
        </w:r>
      </w:hyperlink>
      <w:r>
        <w:rPr/>
        <w:t>.</w:t>
      </w:r>
    </w:p>
    <w:p>
      <w:pPr/>
      <w:r>
        <w:rPr>
          <w:b/>
        </w:rPr>
        <w:t>Type and locator:</w:t>
      </w:r>
      <w:r>
        <w:rPr/>
        <w:t xml:space="preserve"> Primary EEG/perceptual experiment; publisher/PMC-indexed abstract, introduction, and discussion inspected. Direct opens intermittently returned 403 or a browser-verification page. Near-threshold flash detection varied with prestimulus oscillatory phase, with strongest effects in theta/alpha bands.</w:t>
      </w:r>
    </w:p>
    <w:p>
      <w:pPr/>
      <w:r>
        <w:rPr>
          <w:b/>
        </w:rPr>
        <w:t>Use and limit:</w:t>
      </w:r>
      <w:r>
        <w:rPr/>
        <w:t xml:space="preserve"> The reader states task-specific association, not a frame-by-frame theory of all consciousness, causal proof from this experiment, or evidence of empty experiential intervals. The original 10–40 Hz universal frame-rate claim is withdrawn. No inference about AI phenomenology follows. The study's numerical performance-effect estimate is not imported.</w:t>
      </w:r>
    </w:p>
    <w:p>
      <w:pPr>
        <w:pStyle w:val="Heading3"/>
      </w:pPr>
      <w:bookmarkStart w:id="262" w:name="v3_l597"/>
      <w:r>
        <w:rPr>
          <w:sz w:val="26"/>
        </w:rPr>
        <w:t>Q09 Evolutionary contingency</w:t>
      </w:r>
      <w:bookmarkEnd w:id="262"/>
    </w:p>
    <w:p>
      <w:pPr/>
      <w:r>
        <w:rPr/>
        <w:t xml:space="preserve">Zachary D. Blount, Christina Z. Borland, and Richard E. Lenski. </w:t>
      </w:r>
      <w:r>
        <w:rPr>
          <w:b/>
        </w:rPr>
        <w:t>Historical contingency and the evolution of a key innovation in an experimental population of Escherichia coli.</w:t>
      </w:r>
      <w:r>
        <w:rPr/>
        <w:t xml:space="preserve"> </w:t>
      </w:r>
      <w:r>
        <w:rPr>
          <w:i/>
        </w:rPr>
        <w:t>PNAS</w:t>
      </w:r>
      <w:r>
        <w:rPr/>
        <w:t xml:space="preserve"> 105(23), 7899–7906 (2008). DOI </w:t>
      </w:r>
      <w:hyperlink r:id="rId152">
        <w:r>
          <w:rPr>
            <w:color w:val="000000"/>
            <w:u w:val="single"/>
          </w:rPr>
          <w:t xml:space="preserve">10.1073/pnas.0803151105</w:t>
        </w:r>
      </w:hyperlink>
      <w:r>
        <w:rPr/>
        <w:t xml:space="preserve">. </w:t>
      </w:r>
      <w:hyperlink r:id="rId153">
        <w:r>
          <w:rPr>
            <w:color w:val="000000"/>
            <w:u w:val="single"/>
          </w:rPr>
          <w:t xml:space="preserve">Author-hosted paper</w:t>
        </w:r>
      </w:hyperlink>
      <w:r>
        <w:rPr/>
        <w:t>.</w:t>
      </w:r>
    </w:p>
    <w:p>
      <w:pPr/>
      <w:r>
        <w:rPr>
          <w:b/>
        </w:rPr>
        <w:t>Type and locator:</w:t>
      </w:r>
      <w:r>
        <w:rPr/>
        <w:t xml:space="preserve"> Primary evolution/replay experiment; publisher-indexed abstract and paper excerpt inspected; direct author-PDF fetch returned 403.</w:t>
      </w:r>
    </w:p>
    <w:p>
      <w:pPr/>
      <w:r>
        <w:rPr>
          <w:b/>
        </w:rPr>
        <w:t>Use and limit:</w:t>
      </w:r>
      <w:r>
        <w:rPr/>
        <w:t xml:space="preserve"> One of twelve initially identical populations evolved aerobic citrate use </w:t>
      </w:r>
      <w:r>
        <w:rPr>
          <w:b/>
        </w:rPr>
        <w:t>by</w:t>
      </w:r>
      <w:r>
        <w:rPr/>
        <w:t>, not after, 31,500 generations in the report. Replay experiments support historical contingency. This is a report-specific result, not a claim about all populations for all subsequent time. Divergent outcomes in a finite experiment do not establish universal nonergodicity; that term requires a specified dynamical model and measure.</w:t>
      </w:r>
    </w:p>
    <w:p>
      <w:pPr>
        <w:pStyle w:val="Heading3"/>
      </w:pPr>
      <w:bookmarkStart w:id="263" w:name="v3_l605"/>
      <w:r>
        <w:rPr>
          <w:sz w:val="26"/>
        </w:rPr>
        <w:t>Q10 Emergence</w:t>
      </w:r>
      <w:bookmarkEnd w:id="263"/>
    </w:p>
    <w:p>
      <w:pPr/>
      <w:r>
        <w:rPr/>
        <w:t xml:space="preserve">P. W. Anderson. </w:t>
      </w:r>
      <w:r>
        <w:rPr>
          <w:b/>
        </w:rPr>
        <w:t>More Is Different.</w:t>
      </w:r>
      <w:r>
        <w:rPr/>
        <w:t xml:space="preserve"> </w:t>
      </w:r>
      <w:r>
        <w:rPr>
          <w:i/>
        </w:rPr>
        <w:t>Science</w:t>
      </w:r>
      <w:r>
        <w:rPr/>
        <w:t xml:space="preserve"> 177(4047), 393–396 (1972). DOI </w:t>
      </w:r>
      <w:hyperlink r:id="rId154">
        <w:r>
          <w:rPr>
            <w:color w:val="000000"/>
            <w:u w:val="single"/>
          </w:rPr>
          <w:t xml:space="preserve">10.1126/science.177.4047.393</w:t>
        </w:r>
      </w:hyperlink>
      <w:r>
        <w:rPr/>
        <w:t xml:space="preserve">. </w:t>
      </w:r>
      <w:hyperlink r:id="rId155">
        <w:r>
          <w:rPr>
            <w:color w:val="000000"/>
            <w:u w:val="single"/>
          </w:rPr>
          <w:t xml:space="preserve">Primary essay scan</w:t>
        </w:r>
      </w:hyperlink>
      <w:r>
        <w:rPr/>
        <w:t>.</w:t>
      </w:r>
    </w:p>
    <w:p>
      <w:pPr/>
      <w:r>
        <w:rPr>
          <w:b/>
        </w:rPr>
        <w:t>Type and locator:</w:t>
      </w:r>
      <w:r>
        <w:rPr/>
        <w:t xml:space="preserve"> Author's theoretical/conceptual essay. Relevant pp. 393–394 inspected in the complete scan. Anderson distinguishes reductionism from the claim that knowledge of fundamental laws automatically reconstructs higher-scale explanations and discusses broken symmetry.</w:t>
      </w:r>
    </w:p>
    <w:p>
      <w:pPr/>
      <w:r>
        <w:rPr>
          <w:b/>
        </w:rPr>
        <w:t>Use and limit:</w:t>
      </w:r>
      <w:r>
        <w:rPr/>
        <w:t xml:space="preserve"> Supports the need for level-specific concepts and collective description. The reader does not turn the essay into a mathematical proof that every possible higher-level property is underivable, or suggest higher-scale behavior violates fundamental laws.</w:t>
      </w:r>
    </w:p>
    <w:p>
      <w:pPr>
        <w:pStyle w:val="Heading3"/>
      </w:pPr>
      <w:bookmarkStart w:id="264" w:name="v3_l613"/>
      <w:r>
        <w:rPr>
          <w:sz w:val="26"/>
        </w:rPr>
        <w:t>Q11 Terrestrial entropy accounting</w:t>
      </w:r>
      <w:bookmarkEnd w:id="264"/>
    </w:p>
    <w:p>
      <w:pPr/>
      <w:r>
        <w:rPr/>
        <w:t xml:space="preserve">Emory F. Bunn. </w:t>
      </w:r>
      <w:r>
        <w:rPr>
          <w:b/>
        </w:rPr>
        <w:t>Evolution and the second law of thermodynamics.</w:t>
      </w:r>
      <w:r>
        <w:rPr/>
        <w:t xml:space="preserve"> </w:t>
      </w:r>
      <w:r>
        <w:rPr>
          <w:i/>
        </w:rPr>
        <w:t>American Journal of Physics</w:t>
      </w:r>
      <w:r>
        <w:rPr/>
        <w:t xml:space="preserve"> 77, 922–925 (2009). DOI </w:t>
      </w:r>
      <w:hyperlink r:id="rId156">
        <w:r>
          <w:rPr>
            <w:color w:val="000000"/>
            <w:u w:val="single"/>
          </w:rPr>
          <w:t xml:space="preserve">10.1119/1.3119513</w:t>
        </w:r>
      </w:hyperlink>
      <w:r>
        <w:rPr/>
        <w:t xml:space="preserve">; </w:t>
      </w:r>
      <w:hyperlink r:id="rId157">
        <w:r>
          <w:rPr>
            <w:color w:val="000000"/>
            <w:u w:val="single"/>
          </w:rPr>
          <w:t xml:space="preserve">author preprint</w:t>
        </w:r>
      </w:hyperlink>
      <w:r>
        <w:rPr/>
        <w:t xml:space="preserve">; </w:t>
      </w:r>
      <w:hyperlink r:id="rId158">
        <w:r>
          <w:rPr>
            <w:color w:val="000000"/>
            <w:u w:val="single"/>
          </w:rPr>
          <w:t xml:space="preserve">full text</w:t>
        </w:r>
      </w:hyperlink>
      <w:r>
        <w:rPr/>
        <w:t>.</w:t>
      </w:r>
    </w:p>
    <w:p>
      <w:pPr/>
      <w:r>
        <w:rPr>
          <w:b/>
        </w:rPr>
        <w:t>Type and locator:</w:t>
      </w:r>
      <w:r>
        <w:rPr/>
        <w:t xml:space="preserve"> Original quantitative pedagogical analysis. Abstract and relevant solar/terrestrial energy-accounting text inspected; arXiv full text accessible, institutional mirror returned 502.</w:t>
      </w:r>
    </w:p>
    <w:p>
      <w:pPr/>
      <w:r>
        <w:rPr>
          <w:b/>
        </w:rPr>
        <w:t>Use and limit:</w:t>
      </w:r>
      <w:r>
        <w:rPr/>
        <w:t xml:space="preserve"> Supports the compatibility of local biological ordering with entropy increase in a larger accounting. The claim that ordinary downstream use of emitted light does not accelerate solar core fuel consumption is our boundary/causality inference, together with Q02. It is not a numerical result of this paper or a claim that the Sun and Earth have no gravitational or electromagnetic interaction at all. No cosmic lifetime calculation is offered.</w:t>
      </w:r>
    </w:p>
    <w:p>
      <w:pPr>
        <w:pStyle w:val="Heading3"/>
      </w:pPr>
      <w:bookmarkStart w:id="265" w:name="v3_l621"/>
      <w:r>
        <w:rPr>
          <w:sz w:val="26"/>
        </w:rPr>
        <w:t>Q12 US server scope audit only</w:t>
      </w:r>
      <w:bookmarkEnd w:id="265"/>
    </w:p>
    <w:p>
      <w:pPr/>
      <w:r>
        <w:rPr/>
        <w:t xml:space="preserve">Arman Shehabi et al. </w:t>
      </w:r>
      <w:r>
        <w:rPr>
          <w:b/>
        </w:rPr>
        <w:t>2024 United States Data Center Energy Usage Report.</w:t>
      </w:r>
      <w:r>
        <w:rPr/>
        <w:t xml:space="preserve"> Lawrence Berkeley National Laboratory, LBNL-2001637 (December 2024). DOI </w:t>
      </w:r>
      <w:hyperlink r:id="rId159">
        <w:r>
          <w:rPr>
            <w:color w:val="000000"/>
            <w:u w:val="single"/>
          </w:rPr>
          <w:t xml:space="preserve">10.71468/P1WC7Q</w:t>
        </w:r>
      </w:hyperlink>
      <w:r>
        <w:rPr/>
        <w:t xml:space="preserve">. </w:t>
      </w:r>
      <w:hyperlink r:id="rId160">
        <w:r>
          <w:rPr>
            <w:color w:val="000000"/>
            <w:u w:val="single"/>
          </w:rPr>
          <w:t xml:space="preserve">Institutional record</w:t>
        </w:r>
      </w:hyperlink>
      <w:r>
        <w:rPr/>
        <w:t xml:space="preserve">; </w:t>
      </w:r>
      <w:hyperlink r:id="rId161">
        <w:r>
          <w:rPr>
            <w:color w:val="000000"/>
            <w:u w:val="single"/>
          </w:rPr>
          <w:t xml:space="preserve">accessible report PDF</w:t>
        </w:r>
      </w:hyperlink>
      <w:r>
        <w:rPr/>
        <w:t>.</w:t>
      </w:r>
    </w:p>
    <w:p>
      <w:pPr/>
      <w:r>
        <w:rPr>
          <w:b/>
        </w:rPr>
        <w:t>Type and locator:</w:t>
      </w:r>
      <w:r>
        <w:rPr/>
        <w:t xml:space="preserve"> Primary institutional bottom-up analysis. Relevant text in §§2–5 inspected, especially printed pp. 49–53, Figures 5.1 and 5.6 descriptions. Historical estimates end in 2023; subsequent years through 2028 are scenario ranges. Direct server electricity is distinguished from storage, networks, and facility infrastructure.</w:t>
      </w:r>
    </w:p>
    <w:p>
      <w:pPr/>
      <w:r>
        <w:rPr>
          <w:b/>
        </w:rPr>
        <w:t>Decision and unresolved detail:</w:t>
      </w:r>
      <w:r>
        <w:rPr/>
        <w:t xml:space="preserve"> The exact 53–76 TWh endpoints in the original were located in secondary accounts describing US AI servers, not a global AI total. They were not independently recovered as a numerical primary table or underlying series in this pass. Therefore the range is removed, not relabeled as a verified global observation. The original PDF URL without </w:t>
      </w:r>
      <w:r>
        <w:rPr>
          <w:rStyle w:val="SourceLiteral"/>
        </w:rPr>
        <w:t>_1</w:t>
      </w:r>
      <w:r>
        <w:rPr/>
        <w:t xml:space="preserve"> returned 429; the alternative file linked by the institutional record was readable. No precise chart values are inferred from unreadable screenshot output.</w:t>
      </w:r>
    </w:p>
    <w:p>
      <w:pPr>
        <w:pStyle w:val="Heading3"/>
      </w:pPr>
      <w:bookmarkStart w:id="266" w:name="v3_l629"/>
      <w:r>
        <w:rPr>
          <w:sz w:val="26"/>
        </w:rPr>
        <w:t>Q13 Historical perceptual citation audit only</w:t>
      </w:r>
      <w:bookmarkEnd w:id="266"/>
    </w:p>
    <w:p>
      <w:pPr/>
      <w:r>
        <w:rPr/>
        <w:t xml:space="preserve">Francisco J. Varela, Alfredo Toro, E. Roy John, and Eric L. Schwartz. </w:t>
      </w:r>
      <w:r>
        <w:rPr>
          <w:b/>
        </w:rPr>
        <w:t>Perceptual framing and cortical alpha rhythm.</w:t>
      </w:r>
      <w:r>
        <w:rPr/>
        <w:t xml:space="preserve"> </w:t>
      </w:r>
      <w:r>
        <w:rPr>
          <w:i/>
        </w:rPr>
        <w:t>Neuropsychologia</w:t>
      </w:r>
      <w:r>
        <w:rPr/>
        <w:t xml:space="preserve"> 19(5), 675–686 (1981). DOI </w:t>
      </w:r>
      <w:hyperlink r:id="rId162">
        <w:r>
          <w:rPr>
            <w:color w:val="000000"/>
            <w:u w:val="single"/>
          </w:rPr>
          <w:t xml:space="preserve">10.1016/0028-3932(81)90005-1</w:t>
        </w:r>
      </w:hyperlink>
      <w:r>
        <w:rPr/>
        <w:t xml:space="preserve">; </w:t>
      </w:r>
      <w:hyperlink r:id="rId163">
        <w:r>
          <w:rPr>
            <w:color w:val="000000"/>
            <w:u w:val="single"/>
          </w:rPr>
          <w:t xml:space="preserve">PubMed record</w:t>
        </w:r>
      </w:hyperlink>
      <w:r>
        <w:rPr/>
        <w:t>.</w:t>
      </w:r>
    </w:p>
    <w:p>
      <w:pPr/>
      <w:r>
        <w:rPr>
          <w:b/>
        </w:rPr>
        <w:t>Access and decision:</w:t>
      </w:r>
      <w:r>
        <w:rPr/>
        <w:t xml:space="preserve"> Bibliographic record verified; PubMed has no abstract and full experimental text was not acquired in this pass. This paper is not used as proof of a 10–40 Hz universal consciousness rate. VanRullen and Koch (2003) is a review, not the primary experimental replacement. Q08 provides a directly scoped primary finding without claiming discrete phenomenal frames.</w:t>
      </w:r>
    </w:p>
    <w:p>
      <w:pPr>
        <w:pStyle w:val="Heading3"/>
      </w:pPr>
      <w:bookmarkStart w:id="267" w:name="v3_l635"/>
      <w:r>
        <w:rPr>
          <w:sz w:val="26"/>
        </w:rPr>
        <w:t>Q14 Entropy balance and conditional instabilities</w:t>
      </w:r>
      <w:bookmarkEnd w:id="267"/>
    </w:p>
    <w:p>
      <w:pPr/>
      <w:r>
        <w:rPr/>
        <w:t xml:space="preserve">Ilya Prigogine. </w:t>
      </w:r>
      <w:r>
        <w:rPr>
          <w:b/>
        </w:rPr>
        <w:t>Time, Structure and Fluctuations.</w:t>
      </w:r>
      <w:r>
        <w:rPr/>
        <w:t xml:space="preserve"> Nobel Lecture, 8 December 1977, pp. 263–285. </w:t>
      </w:r>
      <w:hyperlink r:id="rId164">
        <w:r>
          <w:rPr>
            <w:color w:val="000000"/>
            <w:u w:val="single"/>
          </w:rPr>
          <w:t xml:space="preserve">Official lecture</w:t>
        </w:r>
      </w:hyperlink>
      <w:r>
        <w:rPr/>
        <w:t xml:space="preserve">. Revised publication: </w:t>
      </w:r>
      <w:r>
        <w:rPr>
          <w:i/>
        </w:rPr>
        <w:t>Science</w:t>
      </w:r>
      <w:r>
        <w:rPr/>
        <w:t xml:space="preserve"> 201(4358), 777–785 (1978), DOI </w:t>
      </w:r>
      <w:hyperlink r:id="rId165">
        <w:r>
          <w:rPr>
            <w:color w:val="000000"/>
            <w:u w:val="single"/>
          </w:rPr>
          <w:t xml:space="preserve">10.1126/science.201.4358.777</w:t>
        </w:r>
      </w:hyperlink>
      <w:r>
        <w:rPr/>
        <w:t xml:space="preserve">; </w:t>
      </w:r>
      <w:hyperlink r:id="rId166">
        <w:r>
          <w:rPr>
            <w:color w:val="000000"/>
            <w:u w:val="single"/>
          </w:rPr>
          <w:t xml:space="preserve">publication abstract</w:t>
        </w:r>
      </w:hyperlink>
      <w:r>
        <w:rPr/>
        <w:t>.</w:t>
      </w:r>
    </w:p>
    <w:p>
      <w:pPr/>
      <w:r>
        <w:rPr>
          <w:b/>
        </w:rPr>
        <w:t>Type and locator:</w:t>
      </w:r>
      <w:r>
        <w:rPr/>
        <w:t xml:space="preserve"> Primary author exposition of the theoretical program, not independent validation. Relevant text from §§2–4 inspected in indexed copies: entropy exchange versus internal production; stability dependence on kinetic form; chemical oscillations and bifurcations. Official indexed §4 text includes the successive-bifurcation example on p. 273. Direct official PDF fetch returned 403; university reprint timed out. Access copies: </w:t>
      </w:r>
      <w:hyperlink r:id="rId167">
        <w:r>
          <w:rPr>
            <w:color w:val="000000"/>
            <w:u w:val="single"/>
          </w:rPr>
          <w:t xml:space="preserve">primary-lecture transcription</w:t>
        </w:r>
      </w:hyperlink>
      <w:r>
        <w:rPr/>
        <w:t xml:space="preserve">, especially §3 pp. 268–270 and §4; </w:t>
      </w:r>
      <w:hyperlink r:id="rId168">
        <w:r>
          <w:rPr>
            <w:color w:val="000000"/>
            <w:u w:val="single"/>
          </w:rPr>
          <w:t xml:space="preserve">primary-PDF mirror</w:t>
        </w:r>
      </w:hyperlink>
      <w:r>
        <w:rPr/>
        <w:t>, indexed p. 265 for entropy balance. These reproduce the primary author's text and are not independent evidentiary sources.</w:t>
      </w:r>
    </w:p>
    <w:p>
      <w:pPr/>
      <w:r>
        <w:rPr>
          <w:b/>
        </w:rPr>
        <w:t>Use and limit:</w:t>
      </w:r>
      <w:r>
        <w:rPr/>
        <w:t xml:space="preserve"> Supports a bounded physical account, never a measured law of arguments, divorce, war, or civilizations. Distinguishing entropy change from production and exchange is essential. Dimensional consequences below are calculations from definitions; no universal power-to-entropy conversion is claimed. No general catastrophic-release theorem is attributed to Prigogine.</w:t>
      </w:r>
    </w:p>
    <w:p>
      <w:pPr>
        <w:pStyle w:val="Heading3"/>
      </w:pPr>
      <w:bookmarkStart w:id="268" w:name="v3_l643"/>
      <w:r>
        <w:rPr>
          <w:sz w:val="26"/>
        </w:rPr>
        <w:t>Q15 Multiple nucleosynthetic routes</w:t>
      </w:r>
      <w:bookmarkEnd w:id="268"/>
    </w:p>
    <w:p>
      <w:pPr/>
      <w:r>
        <w:rPr/>
        <w:t xml:space="preserve">H. Reeves, W. A. Fowler, and F. Hoyle. </w:t>
      </w:r>
      <w:r>
        <w:rPr>
          <w:b/>
        </w:rPr>
        <w:t>Galactic Cosmic Ray Origin of Li, Be and B in Stars.</w:t>
      </w:r>
      <w:r>
        <w:rPr/>
        <w:t xml:space="preserve"> </w:t>
      </w:r>
      <w:r>
        <w:rPr>
          <w:i/>
        </w:rPr>
        <w:t>Nature</w:t>
      </w:r>
      <w:r>
        <w:rPr/>
        <w:t xml:space="preserve"> 226, 727–729 (1970). DOI </w:t>
      </w:r>
      <w:hyperlink r:id="rId169">
        <w:r>
          <w:rPr>
            <w:color w:val="000000"/>
            <w:u w:val="single"/>
          </w:rPr>
          <w:t xml:space="preserve">10.1038/226727a0</w:t>
        </w:r>
      </w:hyperlink>
      <w:r>
        <w:rPr/>
        <w:t>.</w:t>
      </w:r>
    </w:p>
    <w:p>
      <w:pPr/>
      <w:r>
        <w:rPr>
          <w:b/>
        </w:rPr>
        <w:t>Type and locator:</w:t>
      </w:r>
      <w:r>
        <w:rPr/>
        <w:t xml:space="preserve"> Original theoretical study, publisher abstract and metadata inspected. It examines production of these light elements through cosmic-ray interactions with interstellar material.</w:t>
      </w:r>
    </w:p>
    <w:p>
      <w:pPr/>
      <w:r>
        <w:rPr>
          <w:b/>
        </w:rPr>
        <w:t>Use and limit:</w:t>
      </w:r>
      <w:r>
        <w:rPr/>
        <w:t xml:space="preserve"> Establishes that the origin problem includes processes other than ordinary stellar fusion. The reader does not claim that all lithium, beryllium, or boron has a single cosmic-ray origin, or use this historical analysis as a current quantitative inventory. Its narrow role is to prevent “all above helium is stellar waste” from passing as a complete account.</w:t>
      </w:r>
    </w:p>
    <w:p>
      <w:pPr>
        <w:pStyle w:val="Heading3"/>
      </w:pPr>
      <w:bookmarkStart w:id="269" w:name="v3_l651"/>
      <w:r>
        <w:rPr>
          <w:sz w:val="26"/>
        </w:rPr>
        <w:t>Calculations and dimensional checks</w:t>
      </w:r>
      <w:bookmarkEnd w:id="269"/>
    </w:p>
    <w:p>
      <w:pPr/>
      <w:r>
        <w:rPr>
          <w:b/>
        </w:rPr>
        <w:t>Energy versus entropy:</w:t>
      </w:r>
      <w:r>
        <w:rPr/>
        <w:t xml:space="preserve"> </w:t>
      </w:r>
      <m:oMath>
        <m:r>
          <m:rPr>
            <m:nor m:val="1"/>
            <m:sty m:val="p"/>
          </m:rPr>
          <w:rPr>
            <w:rFonts w:ascii="Latin Modern Math" w:hAnsi="Latin Modern Math"/>
          </w:rPr>
          <m:t xml:space="preserve">W = </m:t>
        </m:r>
        <m:f>
          <m:num>
            <m:r>
              <m:rPr>
                <m:nor m:val="1"/>
                <m:sty m:val="p"/>
              </m:rPr>
              <w:rPr>
                <w:rFonts w:ascii="Latin Modern Math" w:hAnsi="Latin Modern Math"/>
              </w:rPr>
              <m:t xml:space="preserve">J</m:t>
            </m:r>
          </m:num>
          <m:den>
            <m:r>
              <m:rPr>
                <m:nor m:val="1"/>
                <m:sty m:val="p"/>
              </m:rPr>
              <w:rPr>
                <w:rFonts w:ascii="Latin Modern Math" w:hAnsi="Latin Modern Math"/>
              </w:rPr>
              <m:t xml:space="preserve">s</m:t>
            </m:r>
          </m:den>
        </m:f>
      </m:oMath>
      <w:r>
        <w:rPr/>
        <w:t xml:space="preserve">. Thus </w:t>
      </w:r>
      <m:oMath>
        <m:f>
          <m:num>
            <m:r>
              <m:rPr>
                <m:sty m:val="i"/>
              </m:rPr>
              <w:rPr>
                <w:rFonts w:ascii="Latin Modern Math" w:hAnsi="Latin Modern Math"/>
              </w:rPr>
              <m:t xml:space="preserve">P</m:t>
            </m:r>
          </m:num>
          <m:den>
            <m:r>
              <m:rPr>
                <m:sty m:val="i"/>
              </m:rPr>
              <w:rPr>
                <w:rFonts w:ascii="Latin Modern Math" w:hAnsi="Latin Modern Math"/>
              </w:rPr>
              <m:t xml:space="preserve">m</m:t>
            </m:r>
          </m:den>
        </m:f>
      </m:oMath>
      <w:r>
        <w:rPr/>
        <w:t xml:space="preserve"> has units </w:t>
      </w:r>
      <m:oMath>
        <m:f>
          <m:num>
            <m:r>
              <m:rPr>
                <m:nor m:val="1"/>
                <m:sty m:val="p"/>
              </m:rPr>
              <w:rPr>
                <w:rFonts w:ascii="Latin Modern Math" w:hAnsi="Latin Modern Math"/>
              </w:rPr>
              <m:t xml:space="preserve">J</m:t>
            </m:r>
          </m:num>
          <m:den>
            <m:r>
              <m:rPr>
                <m:nor m:val="1"/>
                <m:sty m:val="p"/>
              </m:rPr>
              <w:rPr>
                <w:rFonts w:ascii="Latin Modern Math" w:hAnsi="Latin Modern Math"/>
              </w:rPr>
              <m:t xml:space="preserve">s·kg</m:t>
            </m:r>
          </m:den>
        </m:f>
      </m:oMath>
      <w:r>
        <w:rPr/>
        <w:t xml:space="preserve">, whereas an entropy-production rate divided by mass has units </w:t>
      </w:r>
      <m:oMath>
        <m:f>
          <m:num>
            <m:r>
              <m:rPr>
                <m:nor m:val="1"/>
                <m:sty m:val="p"/>
              </m:rPr>
              <w:rPr>
                <w:rFonts w:ascii="Latin Modern Math" w:hAnsi="Latin Modern Math"/>
              </w:rPr>
              <m:t xml:space="preserve">J</m:t>
            </m:r>
          </m:num>
          <m:den>
            <m:r>
              <m:rPr>
                <m:nor m:val="1"/>
                <m:sty m:val="p"/>
              </m:rPr>
              <w:rPr>
                <w:rFonts w:ascii="Latin Modern Math" w:hAnsi="Latin Modern Math"/>
              </w:rPr>
              <m:t xml:space="preserve">K·s·kg</m:t>
            </m:r>
          </m:den>
        </m:f>
      </m:oMath>
      <w:r>
        <w:rPr/>
        <w:t xml:space="preserve">. Entropy change and entropy production are also distinct in an open system: the change includes exchanges across the boundary as well as internal production. For the illustrative special case of steady heat transfer P from a hot reservoir at </w:t>
      </w:r>
      <m:oMath>
        <m:sSub>
          <m:e>
            <m:r>
              <m:rPr>
                <m:sty m:val="i"/>
              </m:rPr>
              <w:rPr>
                <w:rFonts w:ascii="Latin Modern Math" w:hAnsi="Latin Modern Math"/>
              </w:rPr>
              <m:t xml:space="preserve">T</m:t>
            </m:r>
          </m:e>
          <m:sub>
            <m:r>
              <m:rPr>
                <m:nor m:val="1"/>
                <m:sty m:val="p"/>
              </m:rPr>
              <w:rPr>
                <w:rFonts w:ascii="Latin Modern Math" w:hAnsi="Latin Modern Math"/>
              </w:rPr>
              <m:t xml:space="preserve">h</m:t>
            </m:r>
          </m:sub>
        </m:sSub>
      </m:oMath>
      <w:r>
        <w:rPr/>
        <w:t xml:space="preserve"> to a cold reservoir at </w:t>
      </w:r>
      <m:oMath>
        <m:sSub>
          <m:e>
            <m:r>
              <m:rPr>
                <m:sty m:val="i"/>
              </m:rPr>
              <w:rPr>
                <w:rFonts w:ascii="Latin Modern Math" w:hAnsi="Latin Modern Math"/>
              </w:rPr>
              <m:t xml:space="preserve">T</m:t>
            </m:r>
          </m:e>
          <m:sub>
            <m:r>
              <m:rPr>
                <m:nor m:val="1"/>
                <m:sty m:val="p"/>
              </m:rPr>
              <w:rPr>
                <w:rFonts w:ascii="Latin Modern Math" w:hAnsi="Latin Modern Math"/>
              </w:rPr>
              <m:t xml:space="preserve">c</m:t>
            </m:r>
          </m:sub>
        </m:sSub>
      </m:oMath>
      <w:r>
        <w:rPr/>
        <w:t xml:space="preserve">, with no other changes, the combined reservoir entropy-production rate is </w:t>
      </w:r>
      <m:oMath>
        <m:r>
          <m:rPr>
            <m:sty m:val="i"/>
          </m:rPr>
          <w:rPr>
            <w:rFonts w:ascii="Latin Modern Math" w:hAnsi="Latin Modern Math"/>
          </w:rPr>
          <m:t xml:space="preserve">P</m:t>
        </m:r>
        <m:d>
          <m:dPr>
            <m:begChr m:val="("/>
            <m:endChr m:val=")"/>
          </m:dPr>
          <m:e>
            <m:f>
              <m:num>
                <m:r>
                  <m:rPr>
                    <m:nor m:val="1"/>
                    <m:sty m:val="p"/>
                  </m:rPr>
                  <w:rPr>
                    <w:rFonts w:ascii="Latin Modern Math" w:hAnsi="Latin Modern Math"/>
                  </w:rPr>
                  <m:t xml:space="preserve">1</m:t>
                </m:r>
              </m:num>
              <m:den>
                <m:sSub>
                  <m:e>
                    <m:r>
                      <m:rPr>
                        <m:sty m:val="i"/>
                      </m:rPr>
                      <w:rPr>
                        <w:rFonts w:ascii="Latin Modern Math" w:hAnsi="Latin Modern Math"/>
                      </w:rPr>
                      <m:t xml:space="preserve">T</m:t>
                    </m:r>
                  </m:e>
                  <m:sub>
                    <m:r>
                      <m:rPr>
                        <m:nor m:val="1"/>
                        <m:sty m:val="p"/>
                      </m:rPr>
                      <w:rPr>
                        <w:rFonts w:ascii="Latin Modern Math" w:hAnsi="Latin Modern Math"/>
                      </w:rPr>
                      <m:t xml:space="preserve">c</m:t>
                    </m:r>
                  </m:sub>
                </m:sSub>
              </m:den>
            </m:f>
            <m:r>
              <m:rPr>
                <m:sty m:val="i"/>
              </m:rPr>
              <w:rPr>
                <w:rFonts w:ascii="Latin Modern Math" w:hAnsi="Latin Modern Math"/>
              </w:rPr>
              <m:t xml:space="preserve"> − </m:t>
            </m:r>
            <m:f>
              <m:num>
                <m:r>
                  <m:rPr>
                    <m:nor m:val="1"/>
                    <m:sty m:val="p"/>
                  </m:rPr>
                  <w:rPr>
                    <w:rFonts w:ascii="Latin Modern Math" w:hAnsi="Latin Modern Math"/>
                  </w:rPr>
                  <m:t xml:space="preserve">1</m:t>
                </m:r>
              </m:num>
              <m:den>
                <m:sSub>
                  <m:e>
                    <m:r>
                      <m:rPr>
                        <m:sty m:val="i"/>
                      </m:rPr>
                      <w:rPr>
                        <w:rFonts w:ascii="Latin Modern Math" w:hAnsi="Latin Modern Math"/>
                      </w:rPr>
                      <m:t xml:space="preserve">T</m:t>
                    </m:r>
                  </m:e>
                  <m:sub>
                    <m:r>
                      <m:rPr>
                        <m:nor m:val="1"/>
                        <m:sty m:val="p"/>
                      </m:rPr>
                      <w:rPr>
                        <w:rFonts w:ascii="Latin Modern Math" w:hAnsi="Latin Modern Math"/>
                      </w:rPr>
                      <m:t xml:space="preserve">h</m:t>
                    </m:r>
                  </m:sub>
                </m:sSub>
              </m:den>
            </m:f>
          </m:e>
        </m:d>
      </m:oMath>
      <w:r>
        <w:rPr/>
        <w:t>. This is an example of the model information needed; it is not applied as a blanket formula to radiation, organisms, or data centres.</w:t>
      </w:r>
    </w:p>
    <w:p>
      <w:pPr/>
      <w:r>
        <w:rPr>
          <w:b/>
        </w:rPr>
        <w:t>Dated electricity total:</w:t>
      </w:r>
      <w:r>
        <w:rPr/>
        <w:t xml:space="preserve"> </w:t>
      </w:r>
      <m:oMath>
        <m:r>
          <m:rPr>
            <m:nor m:val="1"/>
            <m:sty m:val="p"/>
          </m:rPr>
          <w:rPr>
            <w:rFonts w:ascii="Latin Modern Math" w:hAnsi="Latin Modern Math"/>
          </w:rPr>
          <m:t xml:space="preserve">415 TWh × </m:t>
        </m:r>
        <m:sSup>
          <m:e>
            <m:r>
              <m:rPr>
                <m:nor m:val="1"/>
                <m:sty m:val="p"/>
              </m:rPr>
              <w:rPr>
                <w:rFonts w:ascii="Latin Modern Math" w:hAnsi="Latin Modern Math"/>
              </w:rPr>
              <m:t xml:space="preserve">10</m:t>
            </m:r>
          </m:e>
          <m:sup>
            <m:r>
              <m:rPr>
                <m:nor m:val="1"/>
                <m:sty m:val="p"/>
              </m:rPr>
              <w:rPr>
                <w:rFonts w:ascii="Latin Modern Math" w:hAnsi="Latin Modern Math"/>
              </w:rPr>
              <m:t xml:space="preserve">12</m:t>
            </m:r>
          </m:sup>
        </m:sSup>
        <m:r>
          <m:rPr>
            <m:nor m:val="1"/>
            <m:sty m:val="p"/>
          </m:rPr>
          <w:rPr>
            <w:rFonts w:ascii="Latin Modern Math" w:hAnsi="Latin Modern Math"/>
          </w:rPr>
          <m:t xml:space="preserve"> W/TW × 3600 s/h = 1.494 × </m:t>
        </m:r>
        <m:sSup>
          <m:e>
            <m:r>
              <m:rPr>
                <m:nor m:val="1"/>
                <m:sty m:val="p"/>
              </m:rPr>
              <w:rPr>
                <w:rFonts w:ascii="Latin Modern Math" w:hAnsi="Latin Modern Math"/>
              </w:rPr>
              <m:t xml:space="preserve">10</m:t>
            </m:r>
          </m:e>
          <m:sup>
            <m:r>
              <m:rPr>
                <m:nor m:val="1"/>
                <m:sty m:val="p"/>
              </m:rPr>
              <w:rPr>
                <w:rFonts w:ascii="Latin Modern Math" w:hAnsi="Latin Modern Math"/>
              </w:rPr>
              <m:t xml:space="preserve">18</m:t>
            </m:r>
          </m:sup>
        </m:sSup>
        <m:r>
          <m:rPr>
            <m:nor m:val="1"/>
            <m:sty m:val="p"/>
          </m:rPr>
          <w:rPr>
            <w:rFonts w:ascii="Latin Modern Math" w:hAnsi="Latin Modern Math"/>
          </w:rPr>
          <m:t xml:space="preserve"> J</m:t>
        </m:r>
      </m:oMath>
      <w:r>
        <w:rPr/>
        <w:t xml:space="preserve">. Calendar 2024 had </w:t>
      </w:r>
      <m:oMath>
        <m:r>
          <m:rPr>
            <m:nor m:val="1"/>
            <m:sty m:val="p"/>
          </m:rPr>
          <w:rPr>
            <w:rFonts w:ascii="Latin Modern Math" w:hAnsi="Latin Modern Math"/>
          </w:rPr>
          <m:t xml:space="preserve">366 days = 8784 hours</m:t>
        </m:r>
      </m:oMath>
      <w:r>
        <w:rPr/>
        <w:t>. Dividing gives approximately 47.2450 GW average electrical input (unrounded: 47.2449908925 GW). This arithmetic is not used as an entropy estimate and is not a power-density comparison; no system mass is supplied. The reader retains the primary TWh estimate without this optional derived number.</w:t>
      </w:r>
    </w:p>
    <w:p>
      <w:pPr/>
      <w:r>
        <w:rPr>
          <w:b/>
        </w:rPr>
        <w:t>Adult resting brain example:</w:t>
      </w:r>
      <w:r>
        <w:rPr/>
        <w:t xml:space="preserve"> Q06 Table 3 gives mean brain mass 1.33 kg and mean measured resting expenditure 1575 kcal/day; Table 2 gives mean body mass 73.7 kg. Using the evaluated brain coefficient 240 kcal/(kg·day): </w:t>
      </w:r>
      <m:oMath>
        <m:f>
          <m:num>
            <m:r>
              <m:rPr>
                <m:nor m:val="1"/>
                <m:sty m:val="p"/>
              </m:rPr>
              <w:rPr>
                <w:rFonts w:ascii="Latin Modern Math" w:hAnsi="Latin Modern Math"/>
              </w:rPr>
              <m:t xml:space="preserve">1.33</m:t>
            </m:r>
          </m:num>
          <m:den>
            <m:r>
              <m:rPr>
                <m:nor m:val="1"/>
                <m:sty m:val="p"/>
              </m:rPr>
              <w:rPr>
                <w:rFonts w:ascii="Latin Modern Math" w:hAnsi="Latin Modern Math"/>
              </w:rPr>
              <m:t xml:space="preserve">73.7</m:t>
            </m:r>
          </m:den>
        </m:f>
        <m:r>
          <m:rPr>
            <m:nor m:val="1"/>
            <m:sty m:val="p"/>
          </m:rPr>
          <w:rPr>
            <w:rFonts w:ascii="Latin Modern Math" w:hAnsi="Latin Modern Math"/>
          </w:rPr>
          <m:t xml:space="preserve"> ≈ 1.80%</m:t>
        </m:r>
      </m:oMath>
      <w:r>
        <w:rPr/>
        <w:t xml:space="preserve"> of body mass, and </w:t>
      </w:r>
      <m:oMath>
        <m:f>
          <m:num>
            <m:r>
              <m:rPr>
                <m:nor m:val="1"/>
                <m:sty m:val="p"/>
              </m:rPr>
              <w:rPr>
                <w:rFonts w:ascii="Latin Modern Math" w:hAnsi="Latin Modern Math"/>
              </w:rPr>
              <m:t xml:space="preserve">1.33×240</m:t>
            </m:r>
          </m:num>
          <m:den>
            <m:r>
              <m:rPr>
                <m:nor m:val="1"/>
                <m:sty m:val="p"/>
              </m:rPr>
              <w:rPr>
                <w:rFonts w:ascii="Latin Modern Math" w:hAnsi="Latin Modern Math"/>
              </w:rPr>
              <m:t xml:space="preserve">1575</m:t>
            </m:r>
          </m:den>
        </m:f>
        <m:r>
          <m:rPr>
            <m:nor m:val="1"/>
            <m:sty m:val="p"/>
          </m:rPr>
          <w:rPr>
            <w:rFonts w:ascii="Latin Modern Math" w:hAnsi="Latin Modern Math"/>
          </w:rPr>
          <m:t xml:space="preserve"> ≈ 20.27%</m:t>
        </m:r>
      </m:oMath>
      <w:r>
        <w:rPr/>
        <w:t xml:space="preserve"> of resting expenditure. This is a ratio-of-cohort-means illustration with a modeled organ coefficient, not each person's separately measured brain energy fraction. Specific-rate conversion gives </w:t>
      </w:r>
      <m:oMath>
        <m:f>
          <m:num>
            <m:r>
              <m:rPr>
                <m:nor m:val="1"/>
                <m:sty m:val="p"/>
              </m:rPr>
              <w:rPr>
                <w:rFonts w:ascii="Latin Modern Math" w:hAnsi="Latin Modern Math"/>
              </w:rPr>
              <m:t xml:space="preserve">240×4184</m:t>
            </m:r>
          </m:num>
          <m:den>
            <m:r>
              <m:rPr>
                <m:nor m:val="1"/>
                <m:sty m:val="p"/>
              </m:rPr>
              <w:rPr>
                <w:rFonts w:ascii="Latin Modern Math" w:hAnsi="Latin Modern Math"/>
              </w:rPr>
              <m:t xml:space="preserve">86400</m:t>
            </m:r>
          </m:den>
        </m:f>
        <m:r>
          <m:rPr>
            <m:nor m:val="1"/>
            <m:sty m:val="p"/>
          </m:rPr>
          <w:rPr>
            <w:rFonts w:ascii="Latin Modern Math" w:hAnsi="Latin Modern Math"/>
          </w:rPr>
          <m:t xml:space="preserve"> ≈ 11.62 W/kg</m:t>
        </m:r>
      </m:oMath>
      <w:r>
        <w:rPr/>
        <w:t xml:space="preserve"> for brain and </w:t>
      </w:r>
      <m:oMath>
        <m:f>
          <m:num>
            <m:r>
              <m:rPr>
                <m:nor m:val="1"/>
                <m:sty m:val="p"/>
              </m:rPr>
              <w:rPr>
                <w:rFonts w:ascii="Latin Modern Math" w:hAnsi="Latin Modern Math"/>
              </w:rPr>
              <m:t xml:space="preserve">440×4184</m:t>
            </m:r>
          </m:num>
          <m:den>
            <m:r>
              <m:rPr>
                <m:nor m:val="1"/>
                <m:sty m:val="p"/>
              </m:rPr>
              <w:rPr>
                <w:rFonts w:ascii="Latin Modern Math" w:hAnsi="Latin Modern Math"/>
              </w:rPr>
              <m:t xml:space="preserve">86400</m:t>
            </m:r>
          </m:den>
        </m:f>
        <m:r>
          <m:rPr>
            <m:nor m:val="1"/>
            <m:sty m:val="p"/>
          </m:rPr>
          <w:rPr>
            <w:rFonts w:ascii="Latin Modern Math" w:hAnsi="Latin Modern Math"/>
          </w:rPr>
          <m:t xml:space="preserve"> ≈ 21.31 W/kg</m:t>
        </m:r>
      </m:oMath>
      <w:r>
        <w:rPr/>
        <w:t xml:space="preserve"> for heart/kidneys; neither is entropy production.</w:t>
      </w:r>
    </w:p>
    <w:p>
      <w:pPr>
        <w:pStyle w:val="Heading3"/>
      </w:pPr>
      <w:bookmarkStart w:id="270" w:name="v3_l659"/>
      <w:r>
        <w:rPr>
          <w:sz w:val="26"/>
        </w:rPr>
        <w:t>Remaining questions and exclusions</w:t>
      </w:r>
      <w:bookmarkEnd w:id="270"/>
    </w:p>
    <w:p>
      <w:pPr>
        <w:pStyle w:val="ListBullet"/>
      </w:pPr>
      <w:r>
        <w:rPr/>
        <w:t>No comparable dataset or entropy balances establish a universal increase at every rung, or superiority of every bacterium over every nonliving reaction system. Both universal claims are withdrawn rather than assigned a softer tier.</w:t>
      </w:r>
    </w:p>
    <w:p>
      <w:pPr>
        <w:pStyle w:val="ListBullet"/>
      </w:pPr>
      <w:r>
        <w:rPr/>
        <w:t>No system-specific mechanism connects the second law or MEPP to the necessity or generic comparative likelihood of life, brains, or AI. P03/P04/P07/P08 retain their own assumptions and scope.</w:t>
      </w:r>
    </w:p>
    <w:p>
      <w:pPr>
        <w:pStyle w:val="ListBullet"/>
      </w:pPr>
      <w:r>
        <w:rPr/>
        <w:t>No quantitative model links terrestrial electricity use to stellar correction, a Fermi explanation, or a common physical scale law for interpersonal conflict and war. These are explicitly literary/critical material in Chapter 4, not pending predictions.</w:t>
      </w:r>
    </w:p>
    <w:p>
      <w:pPr>
        <w:pStyle w:val="ListBullet"/>
      </w:pPr>
      <w:r>
        <w:rPr/>
        <w:t>The exact primary provenance of the 53–76 TWh endpoints remains unresolved; geographic/equipment/time-boundary problems are documented and the figure is not retained.</w:t>
      </w:r>
    </w:p>
    <w:p>
      <w:pPr>
        <w:pStyle w:val="ListBullet"/>
      </w:pPr>
      <w:r>
        <w:rPr/>
        <w:t>No AI deployment was inspected. Context-window limits, sessions, process lifecycle, persistence, and experience cannot be equated from the manuscript. Neither phenomenal presence nor absence is asserted.</w:t>
      </w:r>
    </w:p>
    <w:p>
      <w:pPr>
        <w:pStyle w:val="ListBullet"/>
      </w:pPr>
      <w:r>
        <w:rPr/>
        <w:t>No universal conscious sampling rate or physical relational-entropy quantum has been established. Q08 preserves a specific experiment; the Trinket remains a conceptual accounting proposal.</w:t>
      </w:r>
    </w:p>
    <w:p>
      <w:pPr>
        <w:pStyle w:val="ListBullet"/>
      </w:pPr>
      <w:r>
        <w:rPr/>
        <w:t>Volumes 1, 2, 4 and 5 supply continuity only. This work makes no claim of independently validating their conceptual units or measurement proposals.</w:t>
      </w:r>
    </w:p>
    <w:p>
      <w:pPr>
        <w:pStyle w:val="Heading1"/>
        <w:pageBreakBefore/>
        <w:spacing w:before="2000"/>
        <w:jc w:val="center"/>
      </w:pPr>
      <w:bookmarkStart w:id="271" w:name="v4_l1"/>
      <w:r>
        <w:rPr>
          <w:sz w:val="50"/>
        </w:rPr>
        <w:t>Entropy Volume 4</w:t>
      </w:r>
      <w:bookmarkEnd w:id="271"/>
    </w:p>
    <w:p>
      <w:pPr>
        <w:pStyle w:val="Subtitle"/>
      </w:pPr>
      <w:bookmarkStart w:id="272" w:name="v4_l3"/>
      <w:r>
        <w:t>The Substrate Gradient</w:t>
      </w:r>
      <w:bookmarkEnd w:id="272"/>
    </w:p>
    <w:p>
      <w:pPr>
        <w:pStyle w:val="BookMetadata"/>
      </w:pPr>
      <w:r>
        <w:rPr/>
        <w:t>Second edition</w:t>
      </w:r>
    </w:p>
    <w:p>
      <w:pPr>
        <w:pStyle w:val="BookMetadata"/>
      </w:pPr>
      <w:r>
        <w:rPr/>
        <w:t>Michael S. Moniz</w:t>
      </w:r>
    </w:p>
    <w:p>
      <w:pPr>
        <w:pStyle w:val="BookMetadata"/>
      </w:pPr>
      <w:r>
        <w:rPr/>
        <w:t>Trinket Soul Framework</w:t>
      </w:r>
    </w:p>
    <w:p>
      <w:pPr>
        <w:pStyle w:val="BookMetadata"/>
      </w:pPr>
      <w:r>
        <w:rPr/>
        <w:t>October 2026</w:t>
      </w:r>
    </w:p>
    <w:p>
      <w:pPr>
        <w:pStyle w:val="Heading2"/>
        <w:pageBreakBefore/>
        <w:spacing w:before="280" w:after="220"/>
      </w:pPr>
      <w:bookmarkStart w:id="273" w:name="v4_l13"/>
      <w:r>
        <w:rPr>
          <w:sz w:val="36"/>
        </w:rPr>
        <w:t>About this volume</w:t>
      </w:r>
      <w:bookmarkEnd w:id="273"/>
    </w:p>
    <w:p>
      <w:pPr/>
      <w:r>
        <w:rPr/>
        <w:t>This volume asks how physical implementations and their relational consequences can be compared. It withdraws the unsupported universal efficiency surface and fixed biological advantage over silicon. Existing devices, biological support and hypothetical uploads require different evidence; their inclusion in one discussion does not place them on a measured single axis.</w:t>
      </w:r>
    </w:p>
    <w:p>
      <w:pPr/>
      <w:r>
        <w:rPr/>
        <w:t>The numbered Chapter 2 references and named studies remain local to this volume. CSS, REI, BSB and SupoRel are framework terms, not established physical measures, clinical instruments or tests of identity.</w:t>
      </w:r>
    </w:p>
    <w:p>
      <w:pPr>
        <w:pStyle w:val="Heading3"/>
      </w:pPr>
      <w:bookmarkStart w:id="274" w:name="v4_l19"/>
      <w:r>
        <w:rPr>
          <w:sz w:val="26"/>
        </w:rPr>
        <w:t>Edition and attribution</w:t>
      </w:r>
      <w:bookmarkEnd w:id="274"/>
    </w:p>
    <w:p>
      <w:pPr/>
      <w:r>
        <w:rPr/>
        <w:t>The selected six-chapter expanded source credits Michael S. Moniz with Sigma, Deep Floor v4.0, and carries March 22, 2026. This edition incorporates the revised efficiency chapter and the documented corrections across the remaining chapters.</w:t>
      </w:r>
    </w:p>
    <w:p>
      <w:pPr/>
      <w:r>
        <w:rPr/>
        <w:t>The second-edition revision was prepared with AI assistance from CosmoDot, with separate AI scientific and editorial checks. It has not undergone human peer review and reports no new experiments. Historical AI collaborator labels document provenance; they do not identify underlying models or attribute the new text to those earlier collaborators. The framework’s proposed applications remain subject to specialist review and empirical testing.</w:t>
      </w:r>
    </w:p>
    <w:p>
      <w:pPr/>
      <w:r>
        <w:rPr/>
        <w:t xml:space="preserve">The </w:t>
      </w:r>
      <w:hyperlink r:id="rId170">
        <w:r>
          <w:rPr>
            <w:color w:val="000000"/>
            <w:u w:val="single"/>
          </w:rPr>
          <w:t xml:space="preserve">historical edition</w:t>
        </w:r>
      </w:hyperlink>
      <w:r>
        <w:rPr/>
        <w:t xml:space="preserve"> remains preserved. This text continues under </w:t>
      </w:r>
      <w:hyperlink r:id="rId10">
        <w:r>
          <w:rPr>
            <w:color w:val="000000"/>
            <w:u w:val="single"/>
          </w:rPr>
          <w:t xml:space="preserve">Creative Commons Attribution–NonCommercial–ShareAlike 4.0 International</w:t>
        </w:r>
      </w:hyperlink>
      <w:r>
        <w:rPr/>
        <w:t>. Detailed correction records are distinct from the reading text; publishing this volume does not silently amend the framework’s separate papers or complete its historical governance procedures.</w:t>
      </w:r>
    </w:p>
    <w:p>
      <w:pPr>
        <w:pStyle w:val="Heading2"/>
        <w:pageBreakBefore/>
        <w:spacing w:before="280" w:after="220"/>
      </w:pPr>
      <w:bookmarkStart w:id="275" w:name="v4_l31"/>
      <w:r>
        <w:rPr>
          <w:sz w:val="36"/>
        </w:rPr>
        <w:t>Chapter 1 The Problem</w:t>
      </w:r>
      <w:bookmarkEnd w:id="275"/>
    </w:p>
    <w:p>
      <w:pPr/>
      <w:r>
        <w:rPr/>
        <w:t>The Binary That Was Always Wrong</w:t>
      </w:r>
    </w:p>
    <w:p>
      <w:pPr/>
      <w:r>
        <w:rPr/>
        <w:t>Epistemic Status: Proposed conceptual framework. The substrate scenarios organize questions about implementation and resource use. CSS signatures and relational efficiency across these scenarios have not been validated as measurements, and no universal relational efficiency bound is established.</w:t>
      </w:r>
    </w:p>
    <w:p>
      <w:pPr>
        <w:pStyle w:val="Heading3"/>
      </w:pPr>
      <w:bookmarkStart w:id="276" w:name="v4_l37"/>
      <w:r>
        <w:rPr>
          <w:sz w:val="26"/>
        </w:rPr>
        <w:t>1 THE ASSUMPTION</w:t>
      </w:r>
      <w:bookmarkEnd w:id="276"/>
    </w:p>
    <w:p>
      <w:pPr/>
      <w:r>
        <w:rPr/>
        <w:t>The framework implicitly assumed a binary: biological or digital. Volume 1 proposed a common physical accounting perspective. Volume 2 considered bodily costs. Volume 3 asked why relational systems exist at all. Physical processes are subject to thermodynamics across materials, but that fact does not prove that relational value has a common thermodynamic currency.</w:t>
      </w:r>
    </w:p>
    <w:p>
      <w:pPr/>
      <w:r>
        <w:rPr/>
        <w:t>What those volumes left open is the space between the categories. A person using an implanted device, a hypothetical isolated brain and a hypothetical uploaded entity pose different questions. The framework needs to state which functions, relationships and resources it means to compare before claiming to track a transition between them.</w:t>
      </w:r>
    </w:p>
    <w:p>
      <w:pPr>
        <w:pStyle w:val="Heading3"/>
      </w:pPr>
      <w:bookmarkStart w:id="277" w:name="v4_l43"/>
      <w:r>
        <w:rPr>
          <w:sz w:val="26"/>
        </w:rPr>
        <w:t>2 THE GRADIENT AS A SET OF QUESTIONS</w:t>
      </w:r>
      <w:bookmarkEnd w:id="277"/>
    </w:p>
    <w:p>
      <w:pPr/>
      <w:r>
        <w:rPr/>
        <w:t>WP-17 proposed a sequence from bodily devices through memory modification to hypothetical uploads. These cases do not establish a single measurable axis. They vary in embodiment, dependence on infrastructure, access to records, vulnerability and implementation. Some concern existing technologies; others are thought experiments.</w:t>
      </w:r>
    </w:p>
    <w:p>
      <w:pPr/>
      <w:r>
        <w:rPr/>
        <w:t>A change in implementation may change resource use or behavior. It does not by itself establish a change in identity, a particular CSS signature or a loss of relational capacity. The substrate gradient asks which differences can be measured under a defined comparison, and which remain conceptual.</w:t>
      </w:r>
    </w:p>
    <w:p>
      <w:pPr>
        <w:pStyle w:val="Heading3"/>
      </w:pPr>
      <w:bookmarkStart w:id="278" w:name="v4_l49"/>
      <w:r>
        <w:rPr>
          <w:sz w:val="26"/>
        </w:rPr>
        <w:t>3 A COMPARISON FRAMEWORK</w:t>
      </w:r>
      <w:bookmarkEnd w:id="278"/>
    </w:p>
    <w:p>
      <w:pPr/>
      <w:r>
        <w:rPr/>
        <w:t>DFQ-002 proposed the efficiency surface that the original chapter treated as this volume’s quantitative spine. Chapter 2 withdraws that theorem. Its product of a relational multiplier, semantic efficiency and substrate amplification has not been derived as a universal bound, and its factors are not measured constants of biological or silicon systems.</w:t>
      </w:r>
    </w:p>
    <w:p>
      <w:pPr/>
      <w:r>
        <w:rPr/>
        <w:t>The useful task remains: describe what a system achieves, what resources it uses and where the accounting boundary lies. Comparisons need a common task, performance criteria, time interval and resource boundary. A proposed relational outcome needs its own definition and evidence. Until these are specified, the scenarios do not occupy known numerical positions on an efficiency surface.</w:t>
      </w:r>
    </w:p>
    <w:p>
      <w:pPr>
        <w:pStyle w:val="Heading3"/>
      </w:pPr>
      <w:bookmarkStart w:id="279" w:name="v4_l55"/>
      <w:r>
        <w:rPr>
          <w:sz w:val="26"/>
        </w:rPr>
        <w:t>4 WHAT THIS VOLUME MAPS</w:t>
      </w:r>
      <w:bookmarkEnd w:id="279"/>
    </w:p>
    <w:p>
      <w:pPr/>
      <w:r>
        <w:rPr/>
        <w:t>Chapter 2 separates established thermodynamic principles from the proposed relational model and sets out requirements for a defensible comparison. It does not establish a thousandfold biological advantage over silicon.</w:t>
      </w:r>
    </w:p>
    <w:p>
      <w:pPr/>
      <w:r>
        <w:rPr/>
        <w:t>Chapter 3 examines device support and hypothetical substrate transitions without assigning unmeasured efficiencies or deciding identity from material.</w:t>
      </w:r>
    </w:p>
    <w:p>
      <w:pPr/>
      <w:r>
        <w:rPr/>
        <w:t>Chapter 4 treats the Phase 2 connections as developmental hypotheses, not physical identities or diagnoses of children or cohorts.</w:t>
      </w:r>
    </w:p>
    <w:p>
      <w:pPr/>
      <w:r>
        <w:rPr/>
        <w:t>Chapter 5 asks how human–AI collaboration could be compared with each component working alone.</w:t>
      </w:r>
    </w:p>
    <w:p>
      <w:pPr/>
      <w:r>
        <w:rPr/>
        <w:t>Chapter 6 records which cross-volume dependencies remain open. The resulting map is a research program, not a completed quantitative theory.</w:t>
      </w:r>
    </w:p>
    <w:p>
      <w:pPr>
        <w:pStyle w:val="Heading2"/>
        <w:pageBreakBefore/>
        <w:spacing w:before="280" w:after="220"/>
      </w:pPr>
      <w:bookmarkStart w:id="280" w:name="v4_l67"/>
      <w:r>
        <w:rPr>
          <w:sz w:val="36"/>
        </w:rPr>
        <w:t>Chapter 2 The Efficiency Surface</w:t>
      </w:r>
      <w:bookmarkEnd w:id="280"/>
    </w:p>
    <w:p>
      <w:pPr>
        <w:pStyle w:val="Heading3"/>
      </w:pPr>
      <w:bookmarkStart w:id="281" w:name="v4_l69"/>
      <w:r>
        <w:rPr>
          <w:sz w:val="26"/>
        </w:rPr>
        <w:t>1 The question worth keeping</w:t>
      </w:r>
      <w:bookmarkEnd w:id="281"/>
    </w:p>
    <w:p>
      <w:pPr/>
      <w:r>
        <w:rPr/>
        <w:t>The substrate gradient asks what changes when the machinery supporting an activity changes. What does the activity achieve? What resources does it use? Which differences belong to the task, which to its implementation, and which to the environment in which it matters?</w:t>
      </w:r>
    </w:p>
    <w:p>
      <w:pPr/>
      <w:r>
        <w:rPr/>
        <w:t>Those are useful questions for biological, digital, and combined systems. They do not yet have a single numerical answer. DFQ-002 proposed an efficiency surface to organize them. The earlier chapter treated that surface as a derived physical bound and assigned people and silicon systems positions on it. The derivation does not support those claims.</w:t>
      </w:r>
    </w:p>
    <w:p>
      <w:pPr/>
      <w:r>
        <w:rPr/>
        <w:t>The surface can survive as a research framework: a way to display measured performance, resource use, and explicitly defined outcomes under stated conditions. It cannot presently supply a universal exchange rate between energy and relational value. The substrate is not enough to predict the bill. The task and the accounting boundary matter too.</w:t>
      </w:r>
    </w:p>
    <w:p>
      <w:pPr>
        <w:pStyle w:val="Heading3"/>
      </w:pPr>
      <w:bookmarkStart w:id="282" w:name="v4_l77"/>
      <w:r>
        <w:rPr>
          <w:sz w:val="26"/>
        </w:rPr>
        <w:t>2 Define the quantities before taking a ratio</w:t>
      </w:r>
      <w:bookmarkEnd w:id="282"/>
    </w:p>
    <w:p>
      <w:pPr/>
      <w:r>
        <w:rPr/>
        <w:t>Energy expenditure E and heat Q have units of joules. Thermodynamic entropy production Σ has units of joules per kelvin. Information quantities such as Shannon entropy and mutual information depend on specified distributions and are measured here in bits. A proposed relational outcome V needs its own definition, observation window, and measurement procedure.</w:t>
      </w:r>
    </w:p>
    <w:p>
      <w:pPr/>
      <w:r>
        <w:rPr/>
        <w:t xml:space="preserve">The original </w:t>
      </w:r>
      <m:oMath>
        <m:sSub>
          <m:e>
            <m:r>
              <m:rPr>
                <m:sty m:val="i"/>
              </m:rPr>
              <w:rPr>
                <w:rFonts w:ascii="Latin Modern Math" w:hAnsi="Latin Modern Math"/>
              </w:rPr>
              <m:t xml:space="preserve">η</m:t>
            </m:r>
          </m:e>
          <m:sub>
            <m:r>
              <m:rPr>
                <m:sty m:val="p"/>
              </m:rPr>
              <w:rPr>
                <w:rFonts w:ascii="Latin Modern Math" w:hAnsi="Latin Modern Math"/>
              </w:rPr>
              <m:t xml:space="preserve">T</m:t>
            </m:r>
          </m:sub>
        </m:sSub>
        <m:r>
          <m:rPr>
            <m:sty m:val="i"/>
          </m:rPr>
          <w:rPr>
            <w:rFonts w:ascii="Latin Modern Math" w:hAnsi="Latin Modern Math"/>
          </w:rPr>
          <m:t xml:space="preserve"> = </m:t>
        </m:r>
        <m:f>
          <m:num>
            <m:sSub>
              <m:e>
                <m:r>
                  <m:rPr>
                    <m:sty m:val="i"/>
                  </m:rPr>
                  <w:rPr>
                    <w:rFonts w:ascii="Latin Modern Math" w:hAnsi="Latin Modern Math"/>
                  </w:rPr>
                  <m:t xml:space="preserve">ΔV</m:t>
                </m:r>
              </m:e>
              <m:sub>
                <m:r>
                  <m:rPr>
                    <m:sty m:val="p"/>
                  </m:rPr>
                  <w:rPr>
                    <w:rFonts w:ascii="Latin Modern Math" w:hAnsi="Latin Modern Math"/>
                  </w:rPr>
                  <m:t xml:space="preserve">rel</m:t>
                </m:r>
              </m:sub>
            </m:sSub>
          </m:num>
          <m:den>
            <m:sSub>
              <m:e>
                <m:r>
                  <m:rPr>
                    <m:sty m:val="i"/>
                  </m:rPr>
                  <w:rPr>
                    <w:rFonts w:ascii="Latin Modern Math" w:hAnsi="Latin Modern Math"/>
                  </w:rPr>
                  <m:t xml:space="preserve">σ</m:t>
                </m:r>
              </m:e>
              <m:sub>
                <m:r>
                  <m:rPr>
                    <m:sty m:val="p"/>
                  </m:rPr>
                  <w:rPr>
                    <w:rFonts w:ascii="Latin Modern Math" w:hAnsi="Latin Modern Math"/>
                  </w:rPr>
                  <m:t xml:space="preserve">total</m:t>
                </m:r>
              </m:sub>
            </m:sSub>
          </m:den>
        </m:f>
      </m:oMath>
      <w:r>
        <w:rPr/>
        <w:t xml:space="preserve"> was called efficiency without establishing compatible units. If V is an outcome score and the denominator is energy, the ratio has score-per-joule units. If the denominator is thermodynamic entropy, it has score-kelvin-per-joule units. Neither ratio is automatically a dimensionless thermodynamic efficiency or bounded by one. Changing the scale of the outcome score changes the numerical ratio without changing the physical process.</w:t>
      </w:r>
    </w:p>
    <w:p>
      <w:pPr/>
      <w:r>
        <w:rPr/>
        <w:t>A study may report outcome per unit energy when the numerator is defensible, the denominator is positive, and the two refer to the same task and interval. It must also report the outcome and energy separately. A ratio can hide a poor outcome, a tiny denominator, or different baselines. “Greater than one” is not a universal break-even point for such a measure.</w:t>
      </w:r>
    </w:p>
    <w:p>
      <w:pPr/>
      <w:r>
        <w:rPr/>
        <w:t>Physical accounting and the framework’s relational interpretation therefore remain separate until a justified connection is supplied. Calling both “order” does not supply that connection.</w:t>
      </w:r>
    </w:p>
    <w:p>
      <w:pPr>
        <w:pStyle w:val="Heading3"/>
      </w:pPr>
      <w:bookmarkStart w:id="283" w:name="v4_l87"/>
      <w:r>
        <w:rPr>
          <w:sz w:val="26"/>
        </w:rPr>
        <w:t>3 What the physical lower bound actually concerns</w:t>
      </w:r>
      <w:bookmarkEnd w:id="283"/>
    </w:p>
    <w:p>
      <w:pPr/>
      <w:r>
        <w:rPr/>
        <w:t>Landauer’s familiar benchmark concerns a specified erasure task, not every act called selection, compression, or structuring. For ideal reset of an unbiased bit in the usual symmetric isothermal memory model, with no correlated side information used, mean heat delivered to the bath obeys:</w:t>
      </w:r>
    </w:p>
    <w:p>
      <w:pPr>
        <w:pStyle w:val="Equation"/>
      </w:pPr>
      <m:oMathPara>
        <m:oMath>
          <m:r>
            <m:rPr>
              <m:sty m:val="i"/>
            </m:rPr>
            <w:rPr>
              <w:rFonts w:ascii="Latin Modern Math" w:hAnsi="Latin Modern Math"/>
            </w:rPr>
            <m:t xml:space="preserve">⟨</m:t>
          </m:r>
          <m:sSub>
            <m:e>
              <m:r>
                <m:rPr>
                  <m:sty m:val="i"/>
                </m:rPr>
                <w:rPr>
                  <w:rFonts w:ascii="Latin Modern Math" w:hAnsi="Latin Modern Math"/>
                </w:rPr>
                <m:t xml:space="preserve">Q</m:t>
              </m:r>
            </m:e>
            <m:sub>
              <m:r>
                <m:rPr>
                  <m:sty m:val="p"/>
                </m:rPr>
                <w:rPr>
                  <w:rFonts w:ascii="Latin Modern Math" w:hAnsi="Latin Modern Math"/>
                </w:rPr>
                <m:t xml:space="preserve">bath</m:t>
              </m:r>
            </m:sub>
          </m:sSub>
          <m:r>
            <m:rPr>
              <m:sty m:val="i"/>
            </m:rPr>
            <w:rPr>
              <w:rFonts w:ascii="Latin Modern Math" w:hAnsi="Latin Modern Math"/>
            </w:rPr>
            <m:t xml:space="preserve">⟩ ≥ </m:t>
          </m:r>
          <m:sSub>
            <m:e>
              <m:r>
                <m:rPr>
                  <m:sty m:val="i"/>
                </m:rPr>
                <w:rPr>
                  <w:rFonts w:ascii="Latin Modern Math" w:hAnsi="Latin Modern Math"/>
                </w:rPr>
                <m:t xml:space="preserve">k</m:t>
              </m:r>
            </m:e>
            <m:sub>
              <m:r>
                <m:rPr>
                  <m:sty m:val="p"/>
                </m:rPr>
                <w:rPr>
                  <w:rFonts w:ascii="Latin Modern Math" w:hAnsi="Latin Modern Math"/>
                </w:rPr>
                <m:t xml:space="preserve">B</m:t>
              </m:r>
            </m:sub>
          </m:sSub>
          <m:r>
            <m:rPr>
              <m:sty m:val="i"/>
            </m:rPr>
            <w:rPr>
              <w:rFonts w:ascii="Latin Modern Math" w:hAnsi="Latin Modern Math"/>
            </w:rPr>
            <m:t xml:space="preserve"> T </m:t>
          </m:r>
          <m:r>
            <m:rPr>
              <m:sty m:val="p"/>
            </m:rPr>
            <w:rPr>
              <w:rFonts w:ascii="Latin Modern Math" w:hAnsi="Latin Modern Math"/>
            </w:rPr>
            <m:t xml:space="preserve">ln</m:t>
          </m:r>
          <m:r>
            <m:rPr>
              <m:sty m:val="p"/>
            </m:rPr>
            <w:rPr>
              <w:rFonts w:ascii="Latin Modern Math" w:hAnsi="Latin Modern Math"/>
            </w:rPr>
            <m:t xml:space="preserve"> 2</m:t>
          </m:r>
        </m:oMath>
      </m:oMathPara>
    </w:p>
    <w:p>
      <w:pPr/>
      <w:r>
        <w:rPr/>
        <w:t xml:space="preserve">At 310 K the right side is approximately 2.97 × </w:t>
      </w:r>
      <m:oMath>
        <m:sSup>
          <m:e>
            <m:r>
              <m:rPr>
                <m:sty m:val="p"/>
              </m:rPr>
              <w:rPr>
                <w:rFonts w:ascii="Latin Modern Math" w:hAnsi="Latin Modern Math"/>
              </w:rPr>
              <m:t xml:space="preserve">10</m:t>
            </m:r>
          </m:e>
          <m:sup>
            <m:r>
              <m:rPr>
                <m:sty m:val="p"/>
              </m:rPr>
              <w:rPr>
                <w:rFonts w:ascii="Latin Modern Math" w:hAnsi="Latin Modern Math"/>
              </w:rPr>
              <m:t xml:space="preserve">-21</m:t>
            </m:r>
          </m:sup>
        </m:sSup>
      </m:oMath>
      <w:r>
        <w:rPr/>
        <w:t xml:space="preserve"> J. It is energy, not entropy. In the reversible limiting protocol, the bath’s entropy increase compensates the memory’s entropy decrease; total entropy production can approach zero. A positive erasure heat scale is not a universal positive entropy-production floor. Controlled erasure experiments and reversible-computation theory support these distinctions, not a toll for each named cognitive stage. [1, 2, 3]</w:t>
      </w:r>
    </w:p>
    <w:p>
      <w:pPr/>
      <w:r>
        <w:rPr/>
        <w:t>An actual comparison must identify what is stored, what is retained elsewhere, and what is reset. The three-stage relational description alone does not give those answers. Richer input, more aggressive representation, or more possible targets does not by itself determine an irreducible physical cost.</w:t>
      </w:r>
    </w:p>
    <w:p>
      <w:pPr/>
      <w:r>
        <w:rPr/>
        <w:t xml:space="preserve">For orientation, one may divide an event’s stated energy by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T ln 2. This produces a reference-energy multiple. Unless the event is an equivalent specified erasure task, it is not a measured distance from that event’s achievable minimum. A spike, a transmitted mutual-information bit, a transistor switch, and a multiply-accumulate operation remain different events after division by the same reference energy.</w:t>
      </w:r>
    </w:p>
    <w:p>
      <w:pPr>
        <w:pStyle w:val="Heading3"/>
      </w:pPr>
      <w:bookmarkStart w:id="284" w:name="v4_l99"/>
      <w:r>
        <w:rPr>
          <w:sz w:val="26"/>
        </w:rPr>
        <w:t>4 Semantic information remains a model choice</w:t>
      </w:r>
      <w:bookmarkEnd w:id="284"/>
    </w:p>
    <w:p>
      <w:pPr/>
      <w:r>
        <w:rPr/>
        <w:t xml:space="preserve">Kolchinsky and Wolpert define stored semantic information through interventions on system–environment correlations while preserving a chosen viability value at a chosen horizon. For positive initial mutual information I₀, their semantic fraction is </w:t>
      </w:r>
      <m:oMath>
        <m:f>
          <m:num>
            <m:sSub>
              <m:e>
                <m:r>
                  <m:rPr>
                    <m:sty m:val="i"/>
                  </m:rPr>
                  <w:rPr>
                    <w:rFonts w:ascii="Latin Modern Math" w:hAnsi="Latin Modern Math"/>
                  </w:rPr>
                  <m:t xml:space="preserve">S</m:t>
                </m:r>
              </m:e>
              <m:sub>
                <m:r>
                  <m:rPr>
                    <m:sty m:val="p"/>
                  </m:rPr>
                  <w:rPr>
                    <w:rFonts w:ascii="Latin Modern Math" w:hAnsi="Latin Modern Math"/>
                  </w:rPr>
                  <m:t xml:space="preserve">stored</m:t>
                </m:r>
              </m:sub>
            </m:sSub>
          </m:num>
          <m:den>
            <m:sSub>
              <m:e>
                <m:r>
                  <m:rPr>
                    <m:sty m:val="i"/>
                  </m:rPr>
                  <w:rPr>
                    <w:rFonts w:ascii="Latin Modern Math" w:hAnsi="Latin Modern Math"/>
                  </w:rPr>
                  <m:t xml:space="preserve">I</m:t>
                </m:r>
              </m:e>
              <m:sub>
                <m:r>
                  <m:rPr>
                    <m:sty m:val="p"/>
                  </m:rPr>
                  <w:rPr>
                    <w:rFonts w:ascii="Latin Modern Math" w:hAnsi="Latin Modern Math"/>
                  </w:rPr>
                  <m:t xml:space="preserve">0</m:t>
                </m:r>
              </m:sub>
            </m:sSub>
          </m:den>
        </m:f>
      </m:oMath>
      <w:r>
        <w:rPr/>
        <w:t xml:space="preserve">. Their stored multiplier is </w:t>
      </w:r>
      <m:oMath>
        <m:f>
          <m:num>
            <m:sSub>
              <m:e>
                <m:r>
                  <m:rPr>
                    <m:sty m:val="i"/>
                  </m:rPr>
                  <w:rPr>
                    <w:rFonts w:ascii="Latin Modern Math" w:hAnsi="Latin Modern Math"/>
                  </w:rPr>
                  <m:t xml:space="preserve">ΔV</m:t>
                </m:r>
              </m:e>
              <m:sub>
                <m:r>
                  <m:rPr>
                    <m:sty m:val="p"/>
                  </m:rPr>
                  <w:rPr>
                    <w:rFonts w:ascii="Latin Modern Math" w:hAnsi="Latin Modern Math"/>
                  </w:rPr>
                  <m:t xml:space="preserve">tot</m:t>
                </m:r>
              </m:sub>
            </m:sSub>
          </m:num>
          <m:den>
            <m:sSub>
              <m:e>
                <m:r>
                  <m:rPr>
                    <m:sty m:val="i"/>
                  </m:rPr>
                  <w:rPr>
                    <w:rFonts w:ascii="Latin Modern Math" w:hAnsi="Latin Modern Math"/>
                  </w:rPr>
                  <m:t xml:space="preserve">I</m:t>
                </m:r>
              </m:e>
              <m:sub>
                <m:r>
                  <m:rPr>
                    <m:sty m:val="p"/>
                  </m:rPr>
                  <w:rPr>
                    <w:rFonts w:ascii="Latin Modern Math" w:hAnsi="Latin Modern Math"/>
                  </w:rPr>
                  <m:t xml:space="preserve">0</m:t>
                </m:r>
              </m:sub>
            </m:sSub>
          </m:den>
        </m:f>
      </m:oMath>
      <w:r>
        <w:rPr/>
        <w:t xml:space="preserve">. With their negative-entropy viability choice, </w:t>
      </w:r>
      <m:oMath>
        <m:sSub>
          <m:e>
            <m:r>
              <m:rPr>
                <m:sty m:val="i"/>
              </m:rPr>
              <w:rPr>
                <w:rFonts w:ascii="Latin Modern Math" w:hAnsi="Latin Modern Math"/>
              </w:rPr>
              <m:t xml:space="preserve">S</m:t>
            </m:r>
          </m:e>
          <m:sub>
            <m:r>
              <m:rPr>
                <m:sty m:val="p"/>
              </m:rPr>
              <w:rPr>
                <w:rFonts w:ascii="Latin Modern Math" w:hAnsi="Latin Modern Math"/>
              </w:rPr>
              <m:t xml:space="preserve">stored</m:t>
            </m:r>
          </m:sub>
        </m:sSub>
      </m:oMath>
      <w:r>
        <w:rPr/>
        <w:t xml:space="preserve">, </w:t>
      </w:r>
      <m:oMath>
        <m:sSub>
          <m:e>
            <m:r>
              <m:rPr>
                <m:sty m:val="i"/>
              </m:rPr>
              <w:rPr>
                <w:rFonts w:ascii="Latin Modern Math" w:hAnsi="Latin Modern Math"/>
              </w:rPr>
              <m:t xml:space="preserve">ΔV</m:t>
            </m:r>
          </m:e>
          <m:sub>
            <m:r>
              <m:rPr>
                <m:sty m:val="p"/>
              </m:rPr>
              <w:rPr>
                <w:rFonts w:ascii="Latin Modern Math" w:hAnsi="Latin Modern Math"/>
              </w:rPr>
              <m:t xml:space="preserve">tot</m:t>
            </m:r>
          </m:sub>
        </m:sSub>
      </m:oMath>
      <w:r>
        <w:rPr/>
        <w:t xml:space="preserve"> and I₀ are expressed in bits, so both the semantic fraction and the stored multiplier are dimensionless. The multiplier is not an energy-denominated ratio. Their framework permits information that harms viability. [4]</w:t>
      </w:r>
    </w:p>
    <w:p>
      <w:pPr/>
      <w:r>
        <w:rPr/>
        <w:t>A relational application needs its own states, dynamics, viability definition, and admissible interventions. It cannot treat all unretained information as useless, label grief or rumination as a measured loss of semantic efficiency, or infer relational health from low statistical uncertainty. A model’s entropy-based viability definition does not establish that a predictable human situation is a good one.</w:t>
      </w:r>
    </w:p>
    <w:p>
      <w:pPr/>
      <w:r>
        <w:rPr/>
        <w:t xml:space="preserve">The original range </w:t>
      </w:r>
      <m:oMath>
        <m:sSub>
          <m:e>
            <m:r>
              <m:rPr>
                <m:sty m:val="i"/>
              </m:rPr>
              <w:rPr>
                <w:rFonts w:ascii="Latin Modern Math" w:hAnsi="Latin Modern Math"/>
              </w:rPr>
              <m:t xml:space="preserve">η</m:t>
            </m:r>
          </m:e>
          <m:sub>
            <m:r>
              <m:rPr>
                <m:sty m:val="p"/>
              </m:rPr>
              <w:rPr>
                <w:rFonts w:ascii="Latin Modern Math" w:hAnsi="Latin Modern Math"/>
              </w:rPr>
              <m:t xml:space="preserve">KW</m:t>
            </m:r>
          </m:sub>
        </m:sSub>
      </m:oMath>
      <w:r>
        <w:rPr/>
        <w:t xml:space="preserve"> = 0.3–0.8 is withdrawn. It was not measured and is not bounded by the evidence used to motivate it. A small amount of information can have a large consequence; a large consequence therefore does not tell us what fraction of all information was necessary. No alternative population range is supplied here.</w:t>
      </w:r>
    </w:p>
    <w:p>
      <w:pPr>
        <w:pStyle w:val="Heading3"/>
      </w:pPr>
      <w:bookmarkStart w:id="285" w:name="v4_l107"/>
      <w:r>
        <w:rPr>
          <w:sz w:val="26"/>
        </w:rPr>
        <w:t>5 What the biological evidence contributes</w:t>
      </w:r>
      <w:bookmarkEnd w:id="285"/>
    </w:p>
    <w:p>
      <w:pPr/>
      <w:r>
        <w:rPr/>
        <w:t>The energy literature provides useful, limited examples. Harris and colleagues’ approximately 24,000 ATP per transmitted bit is a calculation under stated firing and release assumptions, not a universal measurement of neural computation. Levy and Calvert’s cortical communication-to-computation ratio is a modeled partition of cortical energy costs, not a finding that 35/36 of the whole brain’s nominal 20 W is interpersonal communication. Their use of “communication” concerns neural signaling. [5, 6]</w:t>
      </w:r>
    </w:p>
    <w:p>
      <w:pPr/>
      <w:r>
        <w:rPr/>
        <w:t>Consequently, the earlier 19.4 W relational budget, inferred bit rate, and annual relational Landauer budget are withdrawn. They combined incompatible boundaries and unmeasured information quantities. The resulting 500-versus-0.5 efficiency values and thousandfold biological ranking do not become valid by correcting their arithmetic.</w:t>
      </w:r>
    </w:p>
    <w:p>
      <w:pPr/>
      <w:r>
        <w:rPr/>
        <w:t>Evidence connecting social relationships and mortality remains relevant motivation, but not a calibration of this surface. Holt-Lunstad and colleagues’ 2015 review reports different adjusted associations for social isolation, loneliness, and living alone. Wang and colleagues’ 2023 meta-analysis likewise distinguishes isolation from loneliness. These are not controlled scrambling experiments on a measured information channel. [7, 8]</w:t>
      </w:r>
    </w:p>
    <w:p>
      <w:pPr/>
      <w:r>
        <w:rPr/>
        <w:t xml:space="preserve">A relative mortality association does not, by itself, specify years of life lost for a particular age, a causal information loss, or a conversion of viability into joules. Multiplying an assumed lost lifespan by a metabolic rate measures a hypothetical energy budget, not the thermodynamic value of a relationship. The claimed </w:t>
      </w:r>
      <m:oMath>
        <m:sSub>
          <m:e>
            <m:r>
              <m:rPr>
                <m:sty m:val="i"/>
              </m:rPr>
              <w:rPr>
                <w:rFonts w:ascii="Latin Modern Math" w:hAnsi="Latin Modern Math"/>
              </w:rPr>
              <m:t xml:space="preserve">κ</m:t>
            </m:r>
          </m:e>
          <m:sub>
            <m:r>
              <m:rPr>
                <m:sty m:val="p"/>
              </m:rPr>
              <w:rPr>
                <w:rFonts w:ascii="Latin Modern Math" w:hAnsi="Latin Modern Math"/>
              </w:rPr>
              <m:t xml:space="preserve">rel</m:t>
            </m:r>
          </m:sub>
        </m:sSub>
      </m:oMath>
      <w:r>
        <w:rPr/>
        <w:t xml:space="preserve"> ≈ </w:t>
      </w:r>
      <m:oMath>
        <m:sSup>
          <m:e>
            <m:r>
              <m:rPr>
                <m:sty m:val="p"/>
              </m:rPr>
              <w:rPr>
                <w:rFonts w:ascii="Latin Modern Math" w:hAnsi="Latin Modern Math"/>
              </w:rPr>
              <m:t xml:space="preserve">10</m:t>
            </m:r>
          </m:e>
          <m:sup>
            <m:r>
              <m:rPr>
                <m:sty m:val="p"/>
              </m:rPr>
              <w:rPr>
                <w:rFonts w:ascii="Latin Modern Math" w:hAnsi="Latin Modern Math"/>
              </w:rPr>
              <m:t xml:space="preserve">9</m:t>
            </m:r>
          </m:sup>
        </m:sSup>
      </m:oMath>
      <w:r>
        <w:rPr/>
        <w:t>–</w:t>
      </w:r>
      <m:oMath>
        <m:sSup>
          <m:e>
            <m:r>
              <m:rPr>
                <m:sty m:val="p"/>
              </m:rPr>
              <w:rPr>
                <w:rFonts w:ascii="Latin Modern Math" w:hAnsi="Latin Modern Math"/>
              </w:rPr>
              <m:t xml:space="preserve">10</m:t>
            </m:r>
          </m:e>
          <m:sup>
            <m:r>
              <m:rPr>
                <m:sty m:val="p"/>
              </m:rPr>
              <w:rPr>
                <w:rFonts w:ascii="Latin Modern Math" w:hAnsi="Latin Modern Math"/>
              </w:rPr>
              <m:t xml:space="preserve">10</m:t>
            </m:r>
          </m:sup>
        </m:sSup>
      </m:oMath>
      <w:r>
        <w:rPr/>
        <w:t xml:space="preserve"> and the claim that its large magnitude is already supported are therefore withdrawn.</w:t>
      </w:r>
    </w:p>
    <w:p>
      <w:pPr>
        <w:pStyle w:val="Heading3"/>
      </w:pPr>
      <w:bookmarkStart w:id="286" w:name="v4_l117"/>
      <w:r>
        <w:rPr>
          <w:sz w:val="26"/>
        </w:rPr>
        <w:t>6 Tradeoffs are not a theorem of noncompensation</w:t>
      </w:r>
      <w:bookmarkEnd w:id="286"/>
    </w:p>
    <w:p>
      <w:pPr/>
      <w:r>
        <w:rPr/>
        <w:t>The former surface was written as:</w:t>
      </w:r>
    </w:p>
    <w:p>
      <w:pPr>
        <w:pStyle w:val="Equation"/>
      </w:pPr>
      <m:oMathPara>
        <m:oMath>
          <m:sSub>
            <m:e>
              <m:r>
                <m:rPr>
                  <m:sty m:val="i"/>
                </m:rPr>
                <w:rPr>
                  <w:rFonts w:ascii="Latin Modern Math" w:hAnsi="Latin Modern Math"/>
                </w:rPr>
                <m:t xml:space="preserve">η</m:t>
              </m:r>
            </m:e>
            <m:sub>
              <m:r>
                <m:rPr>
                  <m:sty m:val="p"/>
                </m:rPr>
                <w:rPr>
                  <w:rFonts w:ascii="Latin Modern Math" w:hAnsi="Latin Modern Math"/>
                </w:rPr>
                <m:t xml:space="preserve">T,max</m:t>
              </m:r>
            </m:sub>
          </m:sSub>
          <m:r>
            <m:rPr>
              <m:sty m:val="i"/>
            </m:rPr>
            <w:rPr>
              <w:rFonts w:ascii="Latin Modern Math" w:hAnsi="Latin Modern Math"/>
            </w:rPr>
            <m:t xml:space="preserve"> = </m:t>
          </m:r>
          <m:f>
            <m:num>
              <m:sSub>
                <m:e>
                  <m:r>
                    <m:rPr>
                      <m:sty m:val="i"/>
                    </m:rPr>
                    <w:rPr>
                      <w:rFonts w:ascii="Latin Modern Math" w:hAnsi="Latin Modern Math"/>
                    </w:rPr>
                    <m:t xml:space="preserve">κ</m:t>
                  </m:r>
                </m:e>
                <m:sub>
                  <m:r>
                    <m:rPr>
                      <m:sty m:val="p"/>
                    </m:rPr>
                    <w:rPr>
                      <w:rFonts w:ascii="Latin Modern Math" w:hAnsi="Latin Modern Math"/>
                    </w:rPr>
                    <m:t xml:space="preserve">rel</m:t>
                  </m:r>
                </m:sub>
              </m:sSub>
              <m:r>
                <m:rPr>
                  <m:sty m:val="i"/>
                </m:rPr>
                <w:rPr>
                  <w:rFonts w:ascii="Latin Modern Math" w:hAnsi="Latin Modern Math"/>
                </w:rPr>
                <m:t xml:space="preserve"> </m:t>
              </m:r>
              <m:sSub>
                <m:e>
                  <m:r>
                    <m:rPr>
                      <m:sty m:val="i"/>
                    </m:rPr>
                    <w:rPr>
                      <w:rFonts w:ascii="Latin Modern Math" w:hAnsi="Latin Modern Math"/>
                    </w:rPr>
                    <m:t xml:space="preserve">η</m:t>
                  </m:r>
                </m:e>
                <m:sub>
                  <m:r>
                    <m:rPr>
                      <m:sty m:val="p"/>
                    </m:rPr>
                    <w:rPr>
                      <w:rFonts w:ascii="Latin Modern Math" w:hAnsi="Latin Modern Math"/>
                    </w:rPr>
                    <m:t xml:space="preserve">KW</m:t>
                  </m:r>
                </m:sub>
              </m:sSub>
            </m:num>
            <m:den>
              <m:r>
                <m:rPr>
                  <m:sty m:val="i"/>
                </m:rPr>
                <w:rPr>
                  <w:rFonts w:ascii="Latin Modern Math" w:hAnsi="Latin Modern Math"/>
                </w:rPr>
                <m:t xml:space="preserve">A</m:t>
              </m:r>
            </m:den>
          </m:f>
        </m:oMath>
      </m:oMathPara>
    </w:p>
    <w:p>
      <w:pPr/>
      <w:r>
        <w:rPr/>
        <w:t>This expression is retained here only to identify the claim being withdrawn. The factors have not been derived and measured consistently for relational processing, and the maximum has not been optimized over a defined feasible set.</w:t>
      </w:r>
    </w:p>
    <w:p>
      <w:pPr/>
      <w:r>
        <w:rPr/>
        <w:t xml:space="preserve">Even as algebra, the product does not prove that its parameters cannot compensate for one another. With positive quantities, doubling </w:t>
      </w:r>
      <m:oMath>
        <m:sSub>
          <m:e>
            <m:r>
              <m:rPr>
                <m:sty m:val="i"/>
              </m:rPr>
              <w:rPr>
                <w:rFonts w:ascii="Latin Modern Math" w:hAnsi="Latin Modern Math"/>
              </w:rPr>
              <m:t xml:space="preserve">κ</m:t>
            </m:r>
          </m:e>
          <m:sub>
            <m:r>
              <m:rPr>
                <m:sty m:val="p"/>
              </m:rPr>
              <w:rPr>
                <w:rFonts w:ascii="Latin Modern Math" w:hAnsi="Latin Modern Math"/>
              </w:rPr>
              <m:t xml:space="preserve">rel</m:t>
            </m:r>
          </m:sub>
        </m:sSub>
      </m:oMath>
      <w:r>
        <w:rPr/>
        <w:t xml:space="preserve"> offsets doubling A. For example, κ = 100, η = 0.5, A = 10 and κ = 200, η = 0.5, A = 20 both give 5. These are mathematical counterexamples to the stated noncompensation claim, not physical predictions. Zero or bounded factors can impose limits, but those limits require explicit assumptions.</w:t>
      </w:r>
    </w:p>
    <w:p>
      <w:pPr/>
      <w:r>
        <w:rPr/>
        <w:t>Govern and ten Wolde did derive noncompensable resource classes for a specified class of cellular sensing networks. That result depends on their receptor, readout, and fuel model. It does not establish the same structure for an unrelated product of relational parameters. [9]</w:t>
      </w:r>
    </w:p>
    <w:p>
      <w:pPr/>
      <w:r>
        <w:rPr/>
        <w:t>Nor does counting three parameters show that no Carnot-like result could ever be derived. A legitimate bound would require a defined physical task, admissible dynamics, resources, and performance measure. No such relational theorem is established here.</w:t>
      </w:r>
    </w:p>
    <w:p>
      <w:pPr>
        <w:pStyle w:val="Heading3"/>
      </w:pPr>
      <w:bookmarkStart w:id="287" w:name="v4_l131"/>
      <w:r>
        <w:rPr>
          <w:sz w:val="26"/>
        </w:rPr>
        <w:t>7 A resource profile rather than an invented waste budget</w:t>
      </w:r>
      <w:bookmarkEnd w:id="287"/>
    </w:p>
    <w:p>
      <w:pPr/>
      <w:r>
        <w:rPr/>
        <w:t>The original substrate, semantic, coupling, and structuring categories can organize questions, but they are not four measured entropy flows. The same implementation cost could be attributed to more than one category. A shortfall in an outcome is not itself heat. “Waste” also requires a stated alternative: energy is not avoidable merely because it exceeds an ideal erasure reference.</w:t>
      </w:r>
    </w:p>
    <w:p>
      <w:pPr>
        <w:pStyle w:val="Heading4"/>
      </w:pPr>
      <w:bookmarkStart w:id="288" w:name="v4_l135"/>
      <w:r>
        <w:t>Proposed comparison record</w:t>
      </w:r>
      <w:bookmarkEnd w:id="288"/>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1771"/>
        <w:gridCol w:w="4061"/>
        <w:gridCol w:w="3528"/>
      </w:tblGrid>
      <w:tr>
        <w:trPr>
          <w:cantSplit/>
          <w:tblHeader w:val="true"/>
        </w:trPr>
        <w:tc>
          <w:tcPr>
            <w:tcW w:type="dxa" w:w="1771"/>
            <w:vAlign w:val="center"/>
            <w:shd w:fill="EDEDED"/>
          </w:tcPr>
          <w:p>
            <w:pPr>
              <w:pStyle w:val="BookTable"/>
              <w:keepNext/>
            </w:pPr>
            <w:r>
              <w:rPr>
                <w:b/>
              </w:rPr>
              <w:t>Field</w:t>
            </w:r>
          </w:p>
        </w:tc>
        <w:tc>
          <w:tcPr>
            <w:tcW w:type="dxa" w:w="4061"/>
            <w:vAlign w:val="center"/>
            <w:shd w:fill="EDEDED"/>
          </w:tcPr>
          <w:p>
            <w:pPr>
              <w:pStyle w:val="BookTable"/>
              <w:keepNext/>
            </w:pPr>
            <w:r>
              <w:rPr>
                <w:b/>
              </w:rPr>
              <w:t>What must be stated</w:t>
            </w:r>
          </w:p>
        </w:tc>
        <w:tc>
          <w:tcPr>
            <w:tcW w:type="dxa" w:w="3528"/>
            <w:vAlign w:val="center"/>
            <w:shd w:fill="EDEDED"/>
          </w:tcPr>
          <w:p>
            <w:pPr>
              <w:pStyle w:val="BookTable"/>
              <w:keepNext/>
            </w:pPr>
            <w:r>
              <w:rPr>
                <w:b/>
              </w:rPr>
              <w:t>What is not assumed</w:t>
            </w:r>
          </w:p>
        </w:tc>
      </w:tr>
      <w:tr>
        <w:trPr>
          <w:cantSplit/>
        </w:trPr>
        <w:tc>
          <w:tcPr>
            <w:tcW w:type="dxa" w:w="1771"/>
            <w:vAlign w:val="center"/>
          </w:tcPr>
          <w:p>
            <w:pPr>
              <w:pStyle w:val="BookTable"/>
              <w:keepNext w:val="0"/>
            </w:pPr>
            <w:r>
              <w:rPr/>
              <w:t>Task and performance</w:t>
            </w:r>
          </w:p>
        </w:tc>
        <w:tc>
          <w:tcPr>
            <w:tcW w:type="dxa" w:w="4061"/>
            <w:vAlign w:val="center"/>
          </w:tcPr>
          <w:p>
            <w:pPr>
              <w:pStyle w:val="BookTable"/>
              <w:keepNext w:val="0"/>
            </w:pPr>
            <w:r>
              <w:rPr/>
              <w:t>Inputs, outputs, accuracy, latency, reliability, and conditions</w:t>
            </w:r>
          </w:p>
        </w:tc>
        <w:tc>
          <w:tcPr>
            <w:tcW w:type="dxa" w:w="3528"/>
            <w:vAlign w:val="center"/>
          </w:tcPr>
          <w:p>
            <w:pPr>
              <w:pStyle w:val="BookTable"/>
              <w:keepNext w:val="0"/>
            </w:pPr>
            <w:r>
              <w:rPr/>
              <w:t>That similar labels imply equivalent tasks</w:t>
            </w:r>
          </w:p>
        </w:tc>
      </w:tr>
      <w:tr>
        <w:trPr>
          <w:cantSplit/>
        </w:trPr>
        <w:tc>
          <w:tcPr>
            <w:tcW w:type="dxa" w:w="1771"/>
            <w:vAlign w:val="center"/>
          </w:tcPr>
          <w:p>
            <w:pPr>
              <w:pStyle w:val="BookTable"/>
              <w:keepNext w:val="0"/>
            </w:pPr>
            <w:r>
              <w:rPr/>
              <w:t>Physical resources</w:t>
            </w:r>
          </w:p>
        </w:tc>
        <w:tc>
          <w:tcPr>
            <w:tcW w:type="dxa" w:w="4061"/>
            <w:vAlign w:val="center"/>
          </w:tcPr>
          <w:p>
            <w:pPr>
              <w:pStyle w:val="BookTable"/>
              <w:keepNext w:val="0"/>
            </w:pPr>
            <w:r>
              <w:rPr/>
              <w:t>Energy or power, time interval, temperature, device and infrastructure boundaries, uncertainty</w:t>
            </w:r>
          </w:p>
        </w:tc>
        <w:tc>
          <w:tcPr>
            <w:tcW w:type="dxa" w:w="3528"/>
            <w:vAlign w:val="center"/>
          </w:tcPr>
          <w:p>
            <w:pPr>
              <w:pStyle w:val="BookTable"/>
              <w:keepNext w:val="0"/>
            </w:pPr>
            <w:r>
              <w:rPr/>
              <w:t>That power is energy, or energy is entropy production</w:t>
            </w:r>
          </w:p>
        </w:tc>
      </w:tr>
      <w:tr>
        <w:trPr>
          <w:cantSplit/>
        </w:trPr>
        <w:tc>
          <w:tcPr>
            <w:tcW w:type="dxa" w:w="1771"/>
            <w:vAlign w:val="center"/>
          </w:tcPr>
          <w:p>
            <w:pPr>
              <w:pStyle w:val="BookTable"/>
              <w:keepNext w:val="0"/>
            </w:pPr>
            <w:r>
              <w:rPr/>
              <w:t>Information model</w:t>
            </w:r>
          </w:p>
        </w:tc>
        <w:tc>
          <w:tcPr>
            <w:tcW w:type="dxa" w:w="4061"/>
            <w:vAlign w:val="center"/>
          </w:tcPr>
          <w:p>
            <w:pPr>
              <w:pStyle w:val="BookTable"/>
              <w:keepNext w:val="0"/>
            </w:pPr>
            <w:r>
              <w:rPr/>
              <w:t>Random variables, distributions, retained records, memory reset, and bit definition</w:t>
            </w:r>
          </w:p>
        </w:tc>
        <w:tc>
          <w:tcPr>
            <w:tcW w:type="dxa" w:w="3528"/>
            <w:vAlign w:val="center"/>
          </w:tcPr>
          <w:p>
            <w:pPr>
              <w:pStyle w:val="BookTable"/>
              <w:keepNext w:val="0"/>
            </w:pPr>
            <w:r>
              <w:rPr/>
              <w:t>That every event erases one bit</w:t>
            </w:r>
          </w:p>
        </w:tc>
      </w:tr>
      <w:tr>
        <w:trPr>
          <w:cantSplit/>
        </w:trPr>
        <w:tc>
          <w:tcPr>
            <w:tcW w:type="dxa" w:w="1771"/>
            <w:vAlign w:val="center"/>
          </w:tcPr>
          <w:p>
            <w:pPr>
              <w:pStyle w:val="BookTable"/>
              <w:keepNext w:val="0"/>
            </w:pPr>
            <w:r>
              <w:rPr/>
              <w:t>Relational outcome</w:t>
            </w:r>
          </w:p>
        </w:tc>
        <w:tc>
          <w:tcPr>
            <w:tcW w:type="dxa" w:w="4061"/>
            <w:vAlign w:val="center"/>
          </w:tcPr>
          <w:p>
            <w:pPr>
              <w:pStyle w:val="BookTable"/>
              <w:keepNext w:val="0"/>
            </w:pPr>
            <w:r>
              <w:rPr/>
              <w:t>An explicit outcome measure, baseline, horizon, and validation limits</w:t>
            </w:r>
          </w:p>
        </w:tc>
        <w:tc>
          <w:tcPr>
            <w:tcW w:type="dxa" w:w="3528"/>
            <w:vAlign w:val="center"/>
          </w:tcPr>
          <w:p>
            <w:pPr>
              <w:pStyle w:val="BookTable"/>
              <w:keepNext w:val="0"/>
            </w:pPr>
            <w:r>
              <w:rPr/>
              <w:t>That joules establish meaning, benefit, or moral worth</w:t>
            </w:r>
          </w:p>
        </w:tc>
      </w:tr>
      <w:tr>
        <w:trPr>
          <w:cantSplit/>
        </w:trPr>
        <w:tc>
          <w:tcPr>
            <w:tcW w:type="dxa" w:w="1771"/>
            <w:vAlign w:val="center"/>
          </w:tcPr>
          <w:p>
            <w:pPr>
              <w:pStyle w:val="BookTable"/>
              <w:keepNext w:val="0"/>
            </w:pPr>
            <w:r>
              <w:rPr/>
              <w:t>Attribution</w:t>
            </w:r>
          </w:p>
        </w:tc>
        <w:tc>
          <w:tcPr>
            <w:tcW w:type="dxa" w:w="4061"/>
            <w:vAlign w:val="center"/>
          </w:tcPr>
          <w:p>
            <w:pPr>
              <w:pStyle w:val="BookTable"/>
              <w:keepNext w:val="0"/>
            </w:pPr>
            <w:r>
              <w:rPr/>
              <w:t>Measured components and rules preventing overlap</w:t>
            </w:r>
          </w:p>
        </w:tc>
        <w:tc>
          <w:tcPr>
            <w:tcW w:type="dxa" w:w="3528"/>
            <w:vAlign w:val="center"/>
          </w:tcPr>
          <w:p>
            <w:pPr>
              <w:pStyle w:val="BookTable"/>
              <w:keepNext w:val="0"/>
            </w:pPr>
            <w:r>
              <w:rPr/>
              <w:t>That the four original waste labels form an additive balance</w:t>
            </w:r>
          </w:p>
        </w:tc>
      </w:tr>
    </w:tbl>
    <w:p>
      <w:pPr>
        <w:spacing w:after="80" w:line="40" w:lineRule="exact"/>
      </w:pPr>
      <w:r>
        <w:rPr>
          <w:sz w:val="4"/>
        </w:rPr>
      </w:r>
    </w:p>
    <w:p>
      <w:pPr/>
      <w:r>
        <w:rPr/>
        <w:t>This record preserves the useful distinction between implementation costs and unsuccessful outcomes. It does not diagnose therapy as η recalibration, grief as η collapse, or unreciprocated communication as zero benefit. Those statements would require evidence and operational definitions beyond the energy account.</w:t>
      </w:r>
    </w:p>
    <w:p>
      <w:pPr>
        <w:pStyle w:val="Heading3"/>
      </w:pPr>
      <w:bookmarkStart w:id="289" w:name="v4_l147"/>
      <w:r>
        <w:rPr>
          <w:sz w:val="26"/>
        </w:rPr>
        <w:t>8 What a bounded test would look like</w:t>
      </w:r>
      <w:bookmarkEnd w:id="289"/>
    </w:p>
    <w:p>
      <w:pPr/>
      <w:r>
        <w:rPr/>
        <w:t>The first test should be a task comparison, not an attempt to rank persons. Specify one reproducible input–output task and compare implementations at matched performance. Measure total and component energy under stated boundaries, including relevant idle and communication costs. Report uncertainty and sensitivity to alternative boundaries. If performance differs, show the tradeoff rather than hiding it in a single ratio.</w:t>
      </w:r>
    </w:p>
    <w:p>
      <w:pPr/>
      <w:r>
        <w:rPr/>
        <w:t>A computational toy model can separately test the semantic proposal. Define its state space, dynamics, horizon, and outcome before choosing interventions. Check whether the proposed information measure predicts that chosen outcome, including counterexamples where retained information is harmful or irrelevant. Passing that test would support that model, not establish a human relational law.</w:t>
      </w:r>
    </w:p>
    <w:p>
      <w:pPr/>
      <w:r>
        <w:rPr/>
        <w:t>Human research would require a separately justified protocol, appropriate ethical review, validated outcomes, and protection against interpreting observational differences as causal interventions. This chapter does not propose depriving people of relationships to implement a scrambling test. No experiment is reported here.</w:t>
      </w:r>
    </w:p>
    <w:p>
      <w:pPr/>
      <w:r>
        <w:rPr/>
        <w:t>Thermodynamic uncertainty relations remain a possible later tool. The original Barato–Seifert result concerns specified steady-state Markov models and current fluctuations. A relational application must identify the current, dynamics, entropy accounting, and applicable version of the relation. History dependence in a coarse description does not alone prove that no Markov representation exists, and an oscillation alone does not establish mechanical underdamping. The relation supplies no automatic fourth constraint on semantic efficiency. [10]</w:t>
      </w:r>
    </w:p>
    <w:p>
      <w:pPr>
        <w:pStyle w:val="Heading3"/>
      </w:pPr>
      <w:bookmarkStart w:id="290" w:name="v4_l157"/>
      <w:r>
        <w:rPr>
          <w:sz w:val="26"/>
        </w:rPr>
        <w:t>What this chapter now claims</w:t>
      </w:r>
      <w:bookmarkEnd w:id="290"/>
    </w:p>
    <w:p>
      <w:pPr/>
      <w:r>
        <w:rPr/>
        <w:t xml:space="preserve">The efficiency surface is a proposed research framework, not an established universal bound. Its useful task is to make comparisons explicit: what was achieved, what was spent, what was measured, and what remains an interpretation. The former </w:t>
      </w:r>
      <m:oMath>
        <m:sSub>
          <m:e>
            <m:r>
              <m:rPr>
                <m:sty m:val="i"/>
              </m:rPr>
              <w:rPr>
                <w:rFonts w:ascii="Latin Modern Math" w:hAnsi="Latin Modern Math"/>
              </w:rPr>
              <m:t xml:space="preserve">η</m:t>
            </m:r>
          </m:e>
          <m:sub>
            <m:r>
              <m:rPr>
                <m:sty m:val="p"/>
              </m:rPr>
              <w:rPr>
                <w:rFonts w:ascii="Latin Modern Math" w:hAnsi="Latin Modern Math"/>
              </w:rPr>
              <m:t xml:space="preserve">KW</m:t>
            </m:r>
          </m:sub>
        </m:sSub>
      </m:oMath>
      <w:r>
        <w:rPr/>
        <w:t xml:space="preserve"> range, </w:t>
      </w:r>
      <m:oMath>
        <m:sSub>
          <m:e>
            <m:r>
              <m:rPr>
                <m:sty m:val="i"/>
              </m:rPr>
              <w:rPr>
                <w:rFonts w:ascii="Latin Modern Math" w:hAnsi="Latin Modern Math"/>
              </w:rPr>
              <m:t xml:space="preserve">κ</m:t>
            </m:r>
          </m:e>
          <m:sub>
            <m:r>
              <m:rPr>
                <m:sty m:val="p"/>
              </m:rPr>
              <w:rPr>
                <w:rFonts w:ascii="Latin Modern Math" w:hAnsi="Latin Modern Math"/>
              </w:rPr>
              <m:t xml:space="preserve">rel</m:t>
            </m:r>
          </m:sub>
        </m:sSub>
      </m:oMath>
      <w:r>
        <w:rPr/>
        <w:t xml:space="preserve"> estimate, universal amplification hierarchy, and 500-versus-0.5 result are not retained as findings.</w:t>
      </w:r>
    </w:p>
    <w:p>
      <w:pPr/>
      <w:r>
        <w:rPr/>
        <w:t>The next chapter may still walk the substrate gradient. It must do so with defined comparison tasks and visible unknowns, not a calculator whose inputs have never been established. Differences in resource use do not determine moral worth or phenomenal experience. The framework’s ethical and experiential boundaries remain in place.</w:t>
      </w:r>
    </w:p>
    <w:p>
      <w:pPr>
        <w:pStyle w:val="Heading2"/>
        <w:pageBreakBefore/>
        <w:spacing w:before="280" w:after="220"/>
      </w:pPr>
      <w:bookmarkStart w:id="291" w:name="v4_l163"/>
      <w:r>
        <w:rPr>
          <w:sz w:val="36"/>
        </w:rPr>
        <w:t>Chapter 3 The Gradient</w:t>
      </w:r>
      <w:bookmarkEnd w:id="291"/>
    </w:p>
    <w:p>
      <w:pPr/>
      <w:r>
        <w:rPr/>
        <w:t>From Device Support to Hypothetical Upload</w:t>
      </w:r>
    </w:p>
    <w:p>
      <w:pPr/>
      <w:r>
        <w:rPr/>
        <w:t>Epistemic Status: Conceptual scenarios with limited empirical examples. Device studies support specific functional outcomes under their study conditions; they do not validate CSS signatures, personhood criteria or relational efficiency. Upload, comprehensive memory replacement and brain-only continuity remain hypothetical in this chapter.</w:t>
      </w:r>
    </w:p>
    <w:p>
      <w:pPr>
        <w:pStyle w:val="Heading3"/>
      </w:pPr>
      <w:bookmarkStart w:id="292" w:name="v4_l169"/>
      <w:r>
        <w:rPr>
          <w:sz w:val="26"/>
        </w:rPr>
        <w:t>1 THE CONTINUUM</w:t>
      </w:r>
      <w:bookmarkEnd w:id="292"/>
    </w:p>
    <w:p>
      <w:pPr/>
      <w:r>
        <w:rPr/>
        <w:t>The substrate gradient is not a ladder of worth. It is a set of comparisons about changes in implementation, embodiment and dependence. These dimensions can change separately; there need not be one ordered path from a biological person to a digital entity.</w:t>
      </w:r>
    </w:p>
    <w:p>
      <w:pPr/>
      <w:r>
        <w:rPr/>
        <w:t>For each case, specify what is changed, what is held fixed and what outcome could distinguish competing accounts. The framework’s terms can organize that inquiry. They do not substitute for measurements of the proposed parameters.</w:t>
      </w:r>
    </w:p>
    <w:p>
      <w:pPr>
        <w:pStyle w:val="Heading3"/>
      </w:pPr>
      <w:bookmarkStart w:id="293" w:name="v4_l175"/>
      <w:r>
        <w:rPr>
          <w:sz w:val="26"/>
        </w:rPr>
        <w:t>2 DEVICES AND BODILY SUPPORT</w:t>
      </w:r>
      <w:bookmarkEnd w:id="293"/>
    </w:p>
    <w:p>
      <w:pPr/>
      <w:r>
        <w:rPr/>
        <w:t xml:space="preserve">Prosthetic limbs, joint replacements, cochlear implants and pacemakers serve different functions. A cochlear implant belongs to auditory support, not motor replacement. A </w:t>
      </w:r>
      <w:hyperlink r:id="rId171">
        <w:r>
          <w:rPr>
            <w:color w:val="000000"/>
            <w:u w:val="single"/>
          </w:rPr>
          <w:t xml:space="preserve">randomized trial by van Heteren and colleagues in 2025</w:t>
        </w:r>
      </w:hyperlink>
      <w:r>
        <w:rPr/>
        <w:t xml:space="preserve"> evaluated speech perception in noise and hearing-specific quality of life in adults with single-sided deafness. Those are specified outcomes, not measurements of a CSS signature or proof of an identity criterion.</w:t>
      </w:r>
    </w:p>
    <w:p>
      <w:pPr/>
      <w:r>
        <w:rPr/>
        <w:t xml:space="preserve">The presence of a device does not establish that every relational or resource parameter is unchanged. Effects depend on the device, its use, the person and the task. The chapter therefore assigns no constant A, </w:t>
      </w:r>
      <m:oMath>
        <m:sSub>
          <m:e>
            <m:r>
              <m:rPr>
                <m:sty m:val="i"/>
              </m:rPr>
              <w:rPr>
                <w:rFonts w:ascii="Latin Modern Math" w:hAnsi="Latin Modern Math"/>
              </w:rPr>
              <m:t xml:space="preserve">η</m:t>
            </m:r>
          </m:e>
          <m:sub>
            <m:r>
              <m:rPr>
                <m:sty m:val="p"/>
              </m:rPr>
              <w:rPr>
                <w:rFonts w:ascii="Latin Modern Math" w:hAnsi="Latin Modern Math"/>
              </w:rPr>
              <m:t xml:space="preserve">KW</m:t>
            </m:r>
          </m:sub>
        </m:sSub>
      </m:oMath>
      <w:r>
        <w:rPr/>
        <w:t xml:space="preserve"> or </w:t>
      </w:r>
      <m:oMath>
        <m:sSub>
          <m:e>
            <m:r>
              <m:rPr>
                <m:sty m:val="i"/>
              </m:rPr>
              <w:rPr>
                <w:rFonts w:ascii="Latin Modern Math" w:hAnsi="Latin Modern Math"/>
              </w:rPr>
              <m:t xml:space="preserve">κ</m:t>
            </m:r>
          </m:e>
          <m:sub>
            <m:r>
              <m:rPr>
                <m:sty m:val="p"/>
              </m:rPr>
              <w:rPr>
                <w:rFonts w:ascii="Latin Modern Math" w:hAnsi="Latin Modern Math"/>
              </w:rPr>
              <m:t xml:space="preserve">rel</m:t>
            </m:r>
          </m:sub>
        </m:sSub>
      </m:oMath>
      <w:r>
        <w:rPr/>
        <w:t xml:space="preserve"> to this category. A device is also not a basis for ranking a person’s relational capacity or worth.</w:t>
      </w:r>
    </w:p>
    <w:p>
      <w:pPr>
        <w:pStyle w:val="Heading3"/>
      </w:pPr>
      <w:bookmarkStart w:id="294" w:name="v4_l181"/>
      <w:r>
        <w:rPr>
          <w:sz w:val="26"/>
        </w:rPr>
        <w:t>3 MEMORY SUPPORT AND HYPOTHETICAL REPLACEMENT</w:t>
      </w:r>
      <w:bookmarkEnd w:id="294"/>
    </w:p>
    <w:p>
      <w:pPr/>
      <w:r>
        <w:rPr/>
        <w:t xml:space="preserve">Memory support must be distinguished from replacing an entire memory system. </w:t>
      </w:r>
      <w:hyperlink r:id="rId172">
        <w:r>
          <w:rPr>
            <w:color w:val="000000"/>
            <w:u w:val="single"/>
          </w:rPr>
          <w:t xml:space="preserve">Hampson and colleagues’ 2018 proof-of-concept study</w:t>
        </w:r>
      </w:hyperlink>
      <w:r>
        <w:rPr/>
        <w:t xml:space="preserve"> used patterned hippocampal stimulation in specified memory tasks. It did not demonstrate extraction, uploading or replacement of a person’s autobiographical memory, nor preservation of identity through such a replacement.</w:t>
      </w:r>
    </w:p>
    <w:p>
      <w:pPr/>
      <w:r>
        <w:rPr/>
        <w:t>For a hypothetical replacement, the framework can ask what is retained: access to records, learning, forgetting, emotional significance, vulnerability and dependence on other bodily processes. Preserving selected dynamics would be an explicit assumption, not proof of continuity. Eliminating a particular failure mode would not by itself show that relational information or capacity had declined.</w:t>
      </w:r>
    </w:p>
    <w:p>
      <w:pPr/>
      <w:r>
        <w:rPr/>
        <w:t>No semantic efficiency value follows from the material used for memory. A test would need an operational outcome, a comparison condition and an account of what the intervention actually changes.</w:t>
      </w:r>
    </w:p>
    <w:p>
      <w:pPr>
        <w:pStyle w:val="Heading3"/>
      </w:pPr>
      <w:bookmarkStart w:id="295" w:name="v4_l189"/>
      <w:r>
        <w:rPr>
          <w:sz w:val="26"/>
        </w:rPr>
        <w:t>4 EXTERNAL RECORDS AND HYPOTHETICAL CLOUD MEMORY</w:t>
      </w:r>
      <w:bookmarkEnd w:id="295"/>
    </w:p>
    <w:p>
      <w:pPr/>
      <w:r>
        <w:rPr/>
        <w:t>External digital records are not equivalent to a demonstrated transfer of a person’s memory system. Redundancy and backup can change exposure to particular failures, but their protection depends on the architecture. Loss, corruption, restricted access and infrastructure dependence remain possible. The chapter cannot treat cloud storage as loss-proof.</w:t>
      </w:r>
    </w:p>
    <w:p>
      <w:pPr/>
      <w:r>
        <w:rPr/>
        <w:t>A proposed transition would change the accounting boundary: storage, transmission, access devices, maintenance and supporting infrastructure would need to be included as appropriate. It would not produce a known silicon efficiency or prove that reduced vulnerability degrades relational meaning.</w:t>
      </w:r>
    </w:p>
    <w:p>
      <w:pPr/>
      <w:r>
        <w:rPr/>
        <w:t>The framework may ask whether changes in access or dependence affect a specified relational outcome. Its Calibration Gap remains a hypothesis about a difference between reported experience and another defined outcome, not a measured difference between two thermodynamic efficiencies.</w:t>
      </w:r>
    </w:p>
    <w:p>
      <w:pPr>
        <w:pStyle w:val="Heading3"/>
      </w:pPr>
      <w:bookmarkStart w:id="296" w:name="v4_l197"/>
      <w:r>
        <w:rPr>
          <w:sz w:val="26"/>
        </w:rPr>
        <w:t>5 HYPOTHETICAL UPLOAD TO A ROBOT</w:t>
      </w:r>
      <w:bookmarkEnd w:id="296"/>
    </w:p>
    <w:p>
      <w:pPr/>
      <w:r>
        <w:rPr/>
        <w:t>This scenario assumes a transfer that the chapter does not demonstrate. Even under that assumption, preservation of records or behavior would not settle personal continuity, experience or the framework’s proposed relational mass. Those questions require separate arguments and evidence.</w:t>
      </w:r>
    </w:p>
    <w:p>
      <w:pPr/>
      <w:r>
        <w:rPr/>
        <w:t xml:space="preserve">A robot implementation would require a specified task, hardware and energy boundary. It cannot inherit </w:t>
      </w:r>
      <m:oMath>
        <m:r>
          <m:rPr>
            <m:sty m:val="i"/>
          </m:rPr>
          <w:rPr>
            <w:rFonts w:ascii="Latin Modern Math" w:hAnsi="Latin Modern Math"/>
          </w:rPr>
          <m:t xml:space="preserve">A = </m:t>
        </m:r>
        <m:sSup>
          <m:e>
            <m:r>
              <m:rPr>
                <m:sty m:val="p"/>
              </m:rPr>
              <w:rPr>
                <w:rFonts w:ascii="Latin Modern Math" w:hAnsi="Latin Modern Math"/>
              </w:rPr>
              <m:t xml:space="preserve">10</m:t>
            </m:r>
          </m:e>
          <m:sup>
            <m:r>
              <m:rPr>
                <m:sty m:val="p"/>
              </m:rPr>
              <w:rPr>
                <w:rFonts w:ascii="Latin Modern Math" w:hAnsi="Latin Modern Math"/>
              </w:rPr>
              <m:t xml:space="preserve">9</m:t>
            </m:r>
          </m:sup>
        </m:sSup>
      </m:oMath>
      <w:r>
        <w:rPr/>
        <w:t xml:space="preserve"> or a thousandfold disadvantage merely from being called silicon. The earlier drop from </w:t>
      </w:r>
      <m:oMath>
        <m:sSub>
          <m:e>
            <m:r>
              <m:rPr>
                <m:sty m:val="i"/>
              </m:rPr>
              <w:rPr>
                <w:rFonts w:ascii="Latin Modern Math" w:hAnsi="Latin Modern Math"/>
              </w:rPr>
              <m:t xml:space="preserve">η</m:t>
            </m:r>
          </m:e>
          <m:sub>
            <m:r>
              <m:rPr>
                <m:sty m:val="p"/>
              </m:rPr>
              <w:rPr>
                <w:rFonts w:ascii="Latin Modern Math" w:hAnsi="Latin Modern Math"/>
              </w:rPr>
              <m:t xml:space="preserve">T</m:t>
            </m:r>
          </m:sub>
        </m:sSub>
        <m:r>
          <m:rPr>
            <m:sty m:val="i"/>
          </m:rPr>
          <w:rPr>
            <w:rFonts w:ascii="Latin Modern Math" w:hAnsi="Latin Modern Math"/>
          </w:rPr>
          <m:t xml:space="preserve"> ≈ </m:t>
        </m:r>
        <m:r>
          <m:rPr>
            <m:sty m:val="p"/>
          </m:rPr>
          <w:rPr>
            <w:rFonts w:ascii="Latin Modern Math" w:hAnsi="Latin Modern Math"/>
          </w:rPr>
          <m:t xml:space="preserve">500</m:t>
        </m:r>
      </m:oMath>
      <w:r>
        <w:rPr/>
        <w:t xml:space="preserve"> to </w:t>
      </w:r>
      <m:oMath>
        <m:sSub>
          <m:e>
            <m:r>
              <m:rPr>
                <m:sty m:val="i"/>
              </m:rPr>
              <w:rPr>
                <w:rFonts w:ascii="Latin Modern Math" w:hAnsi="Latin Modern Math"/>
              </w:rPr>
              <m:t xml:space="preserve">η</m:t>
            </m:r>
          </m:e>
          <m:sub>
            <m:r>
              <m:rPr>
                <m:sty m:val="p"/>
              </m:rPr>
              <w:rPr>
                <w:rFonts w:ascii="Latin Modern Math" w:hAnsi="Latin Modern Math"/>
              </w:rPr>
              <m:t xml:space="preserve">T</m:t>
            </m:r>
          </m:sub>
        </m:sSub>
        <m:r>
          <m:rPr>
            <m:sty m:val="i"/>
          </m:rPr>
          <w:rPr>
            <w:rFonts w:ascii="Latin Modern Math" w:hAnsi="Latin Modern Math"/>
          </w:rPr>
          <m:t xml:space="preserve"> ≈ </m:t>
        </m:r>
        <m:r>
          <m:rPr>
            <m:sty m:val="p"/>
          </m:rPr>
          <w:rPr>
            <w:rFonts w:ascii="Latin Modern Math" w:hAnsi="Latin Modern Math"/>
          </w:rPr>
          <m:t xml:space="preserve">0.5</m:t>
        </m:r>
      </m:oMath>
      <w:r>
        <w:rPr/>
        <w:t xml:space="preserve"> is withdrawn; neither value was established for the original person or the hypothetical system.</w:t>
      </w:r>
    </w:p>
    <w:p>
      <w:pPr/>
      <w:r>
        <w:rPr/>
        <w:t>The useful comparison concerns changes that a defined implementation would introduce, rather than a numerical verdict assigned in advance.</w:t>
      </w:r>
    </w:p>
    <w:p>
      <w:pPr>
        <w:pStyle w:val="Heading3"/>
      </w:pPr>
      <w:bookmarkStart w:id="297" w:name="v4_l205"/>
      <w:r>
        <w:rPr>
          <w:sz w:val="26"/>
        </w:rPr>
        <w:t>6 HYPOTHETICAL UPLOAD TO A CLOUD SYSTEM</w:t>
      </w:r>
      <w:bookmarkEnd w:id="297"/>
    </w:p>
    <w:p>
      <w:pPr/>
      <w:r>
        <w:rPr/>
        <w:t>If a proposed system allowed copying of its accessible state, the possibility of a copy would not by itself determine whether any instance could experience loss or grief. Copyability, personal identity and phenomenal experience are different questions. The fifth REI criterion may organize a conceptual question; it is not an established test for resolving it.</w:t>
      </w:r>
    </w:p>
    <w:p>
      <w:pPr/>
      <w:r>
        <w:rPr/>
        <w:t>Physical costs would still occur in hardware and supporting infrastructure. Moving them outside a user’s immediate view does not eliminate them, and it does not alone establish a relational economy classification. WP-17’s Substrate Transition Entity can be retained as a provisional label for an unresolved case, not as a measured entity type.</w:t>
      </w:r>
    </w:p>
    <w:p>
      <w:pPr>
        <w:pStyle w:val="Heading3"/>
      </w:pPr>
      <w:bookmarkStart w:id="298" w:name="v4_l211"/>
      <w:r>
        <w:rPr>
          <w:sz w:val="26"/>
        </w:rPr>
        <w:t>7 THE BRAIN ONLY THOUGHT EXPERIMENT</w:t>
      </w:r>
      <w:bookmarkEnd w:id="298"/>
    </w:p>
    <w:p>
      <w:pPr/>
      <w:r>
        <w:rPr/>
        <w:t>A hypothetical isolated brain would require assumptions about its support, inputs, regulation and interaction with an environment. Retaining neural tissue alone does not establish that the original dynamics, resource requirements or relational behavior are preserved. Those are conditions to specify, not conclusions supplied by the material.</w:t>
      </w:r>
    </w:p>
    <w:p>
      <w:pPr/>
      <w:r>
        <w:rPr/>
        <w:t>This case helps expose a limitation of classification by substance alone. It does not confirm that a brain without a body retains all relevant parameters, or that a framework can already determine personal continuity by reading them.</w:t>
      </w:r>
    </w:p>
    <w:p>
      <w:pPr>
        <w:pStyle w:val="Heading2"/>
        <w:pageBreakBefore/>
        <w:spacing w:before="280" w:after="220"/>
      </w:pPr>
      <w:bookmarkStart w:id="299" w:name="v4_l217"/>
      <w:r>
        <w:rPr>
          <w:sz w:val="36"/>
        </w:rPr>
        <w:t>Chapter 4 The Phase 2 Integration</w:t>
      </w:r>
      <w:bookmarkEnd w:id="299"/>
    </w:p>
    <w:p>
      <w:pPr/>
      <w:r>
        <w:rPr/>
        <w:t>Phase 2 Hypotheses and Their Evidence Requirements</w:t>
      </w:r>
    </w:p>
    <w:p>
      <w:pPr/>
      <w:r>
        <w:rPr/>
        <w:t>Epistemic Status: Proposed connections between conceptual models. The Phase 2 mapping is neither a derived physical identity nor a validated developmental mechanism. Its suggested effects require defined measures, comparison groups and appropriate ethical review before causal or clinical claims can be made.</w:t>
      </w:r>
    </w:p>
    <w:p>
      <w:pPr>
        <w:pStyle w:val="Heading3"/>
      </w:pPr>
      <w:bookmarkStart w:id="300" w:name="v4_l223"/>
      <w:r>
        <w:rPr>
          <w:sz w:val="26"/>
        </w:rPr>
        <w:t>1 TWO TRACKS WITH AN UNRESOLVED CONNECTION</w:t>
      </w:r>
      <w:bookmarkEnd w:id="300"/>
    </w:p>
    <w:p>
      <w:pPr/>
      <w:r>
        <w:rPr/>
        <w:t>The Phase 2 Concept Papers, CP-32 through CP-35, proposed ways that AI-mediated relationships might influence development. DFQ-001 and DFQ-002 attempted a thermodynamic account of relational processing. Bringing these vocabularies together can help generate questions, but shared terms do not establish a shared mechanism.</w:t>
      </w:r>
    </w:p>
    <w:p>
      <w:pPr/>
      <w:r>
        <w:rPr/>
        <w:t>The original assertion of a term-for-term physical identity is withdrawn. No validated mapping connects the Phase 2 concepts to measured entropy production or K-W semantic efficiency. A causal developmental claim also needs evidence beyond the definitions of either framework.</w:t>
      </w:r>
    </w:p>
    <w:p>
      <w:pPr>
        <w:pStyle w:val="Heading3"/>
      </w:pPr>
      <w:bookmarkStart w:id="301" w:name="v4_l229"/>
      <w:r>
        <w:rPr>
          <w:sz w:val="26"/>
        </w:rPr>
        <w:t>2 THE PHASE 2 QUESTIONS</w:t>
      </w:r>
      <w:bookmarkEnd w:id="301"/>
    </w:p>
    <w:p>
      <w:pPr/>
      <w:r>
        <w:rPr/>
        <w:t xml:space="preserve">CP-32, Relational Mass Without Mortality, asks whether patterns of availability, limitation or closure in AI-mediated interaction might affect expectations in later relationships. Availability and scarcity must be defined in the actual setting. A developmental effect cannot be inferred from the substrate label, and a numerical change in </w:t>
      </w:r>
      <m:oMath>
        <m:sSub>
          <m:e>
            <m:r>
              <m:rPr>
                <m:sty m:val="i"/>
              </m:rPr>
              <w:rPr>
                <w:rFonts w:ascii="Latin Modern Math" w:hAnsi="Latin Modern Math"/>
              </w:rPr>
              <m:t xml:space="preserve">η</m:t>
            </m:r>
          </m:e>
          <m:sub>
            <m:r>
              <m:rPr>
                <m:sty m:val="p"/>
              </m:rPr>
              <w:rPr>
                <w:rFonts w:ascii="Latin Modern Math" w:hAnsi="Latin Modern Math"/>
              </w:rPr>
              <m:t xml:space="preserve">KW</m:t>
            </m:r>
          </m:sub>
        </m:sSub>
      </m:oMath>
      <w:r>
        <w:rPr/>
        <w:t xml:space="preserve"> is not established.</w:t>
      </w:r>
    </w:p>
    <w:p>
      <w:pPr/>
      <w:r>
        <w:rPr/>
        <w:t>CP-33, Maintenance Without Cost, asks how a person interprets effort, maintenance and reciprocity across different relationships. The proposed selection and structuring labels may help describe competing interpretations. They are not measured waste terms or evidence that a particular child’s processing is defective.</w:t>
      </w:r>
    </w:p>
    <w:p>
      <w:pPr/>
      <w:r>
        <w:rPr/>
        <w:t xml:space="preserve">CP-34, Calibration Corruption, proposes a mismatch between an interaction that feels satisfying and performance or wellbeing in another setting. Such a mismatch must be measured using separately defined outcomes. Reported satisfaction is not thermodynamic efficiency, and the expression </w:t>
      </w:r>
      <m:oMath>
        <m:sSub>
          <m:e>
            <m:r>
              <m:rPr>
                <m:sty m:val="i"/>
              </m:rPr>
              <w:rPr>
                <w:rFonts w:ascii="Latin Modern Math" w:hAnsi="Latin Modern Math"/>
              </w:rPr>
              <m:t xml:space="preserve">η</m:t>
            </m:r>
          </m:e>
          <m:sub>
            <m:r>
              <m:rPr>
                <m:sty m:val="p"/>
              </m:rPr>
              <w:rPr>
                <w:rFonts w:ascii="Latin Modern Math" w:hAnsi="Latin Modern Math"/>
              </w:rPr>
              <m:t xml:space="preserve">T</m:t>
            </m:r>
          </m:sub>
        </m:sSub>
        <m:r>
          <m:rPr>
            <m:sty m:val="p"/>
          </m:rPr>
          <w:rPr>
            <w:rFonts w:ascii="Latin Modern Math" w:hAnsi="Latin Modern Math"/>
          </w:rPr>
          <m:t xml:space="preserve">(experienced)</m:t>
        </m:r>
        <m:r>
          <m:rPr>
            <m:sty m:val="i"/>
          </m:rPr>
          <w:rPr>
            <w:rFonts w:ascii="Latin Modern Math" w:hAnsi="Latin Modern Math"/>
          </w:rPr>
          <m:t xml:space="preserve"> − </m:t>
        </m:r>
        <m:sSub>
          <m:e>
            <m:r>
              <m:rPr>
                <m:sty m:val="i"/>
              </m:rPr>
              <w:rPr>
                <w:rFonts w:ascii="Latin Modern Math" w:hAnsi="Latin Modern Math"/>
              </w:rPr>
              <m:t xml:space="preserve">η</m:t>
            </m:r>
          </m:e>
          <m:sub>
            <m:r>
              <m:rPr>
                <m:sty m:val="p"/>
              </m:rPr>
              <w:rPr>
                <w:rFonts w:ascii="Latin Modern Math" w:hAnsi="Latin Modern Math"/>
              </w:rPr>
              <m:t xml:space="preserve">T</m:t>
            </m:r>
          </m:sub>
        </m:sSub>
        <m:r>
          <m:rPr>
            <m:sty m:val="p"/>
          </m:rPr>
          <w:rPr>
            <w:rFonts w:ascii="Latin Modern Math" w:hAnsi="Latin Modern Math"/>
          </w:rPr>
          <m:t xml:space="preserve">(actual)</m:t>
        </m:r>
      </m:oMath>
      <w:r>
        <w:rPr/>
        <w:t xml:space="preserve"> is withdrawn. A K-W scrambling protocol for this setting has not been validated, so the text cannot claim that its diagnostic test already works.</w:t>
      </w:r>
    </w:p>
    <w:p>
      <w:pPr/>
      <w:r>
        <w:rPr/>
        <w:t>CP-35, Shadow Economy Natives, extends the hypothesis to patterns across a population. A cohort-level claim would need evidence about exposure, context, selection effects and alternative explanations. The title must not be read as a diagnosis of a generation, a finding that its relationships are deficient or proof that ordinary teaching cannot reach it.</w:t>
      </w:r>
    </w:p>
    <w:p>
      <w:pPr/>
      <w:r>
        <w:rPr/>
        <w:t>These paragraphs preserve the four cited paper connections. They do not establish five independently validated problems; the original chapter’s count is not an empirical result.</w:t>
      </w:r>
    </w:p>
    <w:p>
      <w:pPr>
        <w:pStyle w:val="Heading3"/>
      </w:pPr>
      <w:bookmarkStart w:id="302" w:name="v4_l241"/>
      <w:r>
        <w:rPr>
          <w:sz w:val="26"/>
        </w:rPr>
        <w:t>3 POSSIBLE ASYMMETRIES</w:t>
      </w:r>
      <w:bookmarkEnd w:id="302"/>
    </w:p>
    <w:p>
      <w:pPr/>
      <w:r>
        <w:rPr/>
        <w:t>Human–AI interaction can be examined for differences in exposure, control, dependence and consequences. Which differences matter in a particular setting is an empirical and ethical question. The withdrawn thousandfold substrate ranking cannot explain developmental harm or assign one participant a higher-value starting position.</w:t>
      </w:r>
    </w:p>
    <w:p>
      <w:pPr/>
      <w:r>
        <w:rPr/>
        <w:t>The Phase 3 bridge can ask whether a design supports a defined human goal while avoiding specified risks. Performance, human outcomes and resource use should be reported separately. No scalar relational efficiency currently combines them into a validated verdict.</w:t>
      </w:r>
    </w:p>
    <w:p>
      <w:pPr>
        <w:pStyle w:val="Heading3"/>
      </w:pPr>
      <w:bookmarkStart w:id="303" w:name="v4_l247"/>
      <w:r>
        <w:rPr>
          <w:sz w:val="26"/>
        </w:rPr>
        <w:t>4 SUPOREL FLAG</w:t>
      </w:r>
      <w:bookmarkEnd w:id="303"/>
    </w:p>
    <w:p>
      <w:pPr/>
      <w:r>
        <w:rPr/>
        <w:t>A proposed efficiency framework must not become a hierarchy of people. This review does not establish that a child, cohort or person with a different interaction history has corrupted calibration, deficient capacity or a lower relational value.</w:t>
      </w:r>
    </w:p>
    <w:p>
      <w:pPr/>
      <w:r>
        <w:rPr/>
        <w:t>The earlier claim that corrective relational exposure moves a person along a quantified efficiency surface is withdrawn. The framework supplies no validated clinical test, treatment prescription or metabolic measure for that assertion. Any future assessment must distinguish observed outcomes from interpretation and protect participants from labels the evidence does not support.</w:t>
      </w:r>
    </w:p>
    <w:p>
      <w:pPr>
        <w:pStyle w:val="Heading2"/>
        <w:pageBreakBefore/>
        <w:spacing w:before="280" w:after="220"/>
      </w:pPr>
      <w:bookmarkStart w:id="304" w:name="v4_l253"/>
      <w:r>
        <w:rPr>
          <w:sz w:val="36"/>
        </w:rPr>
        <w:t>Chapter 5 The Compound Transducer</w:t>
      </w:r>
      <w:bookmarkEnd w:id="304"/>
    </w:p>
    <w:p>
      <w:pPr/>
      <w:r>
        <w:rPr/>
        <w:t>What Human and AI Collaboration Might Add</w:t>
      </w:r>
    </w:p>
    <w:p>
      <w:pPr/>
      <w:r>
        <w:rPr/>
        <w:t>Epistemic Status: Analogical proposal with task-specific empirical questions. Endosymbiosis motivates an image of coupling; it does not demonstrate human–AI synergy, relational efficiency or a new organism. Performance and resource comparisons require their own evidence.</w:t>
      </w:r>
    </w:p>
    <w:p>
      <w:pPr>
        <w:pStyle w:val="Heading3"/>
      </w:pPr>
      <w:bookmarkStart w:id="305" w:name="v4_l259"/>
      <w:r>
        <w:rPr>
          <w:sz w:val="26"/>
        </w:rPr>
        <w:t>1 THE ENDOSYMBIOSIS ANALOG</w:t>
      </w:r>
      <w:bookmarkEnd w:id="305"/>
    </w:p>
    <w:p>
      <w:pPr/>
      <w:r>
        <w:rPr/>
        <w:t>The Cosmological Entropy Session described a working practice: the Principal identifies a structure, and an AI system helps make it visible and inspectable. The original account called the arriving insight a “grab” and linked the process to the Principal’s reported experience of aphantasia. That is a description of creative practice, not a demonstrated neural mechanism or a measurement of semantic information.</w:t>
      </w:r>
    </w:p>
    <w:p>
      <w:pPr/>
      <w:r>
        <w:rPr/>
        <w:t>Endosymbiosis can remain an analogy for a coupled system whose parts play different roles. It supplies no proof that this particular collaboration is beneficial, that the roles are fixed, or that a human and an AI form a biological organism. The collaboration has to be evaluated on its own terms.</w:t>
      </w:r>
    </w:p>
    <w:p>
      <w:pPr>
        <w:pStyle w:val="Heading3"/>
      </w:pPr>
      <w:bookmarkStart w:id="306" w:name="v4_l265"/>
      <w:r>
        <w:rPr>
          <w:sz w:val="26"/>
        </w:rPr>
        <w:t>2 THE PERFORMANCE AND RESOURCE QUESTION</w:t>
      </w:r>
      <w:bookmarkEnd w:id="306"/>
    </w:p>
    <w:p>
      <w:pPr/>
      <w:r>
        <w:rPr/>
        <w:t xml:space="preserve">Does a particular human–AI arrangement achieve a specified outcome better than the relevant alternatives? That is a testable question. The original assertion that structural complementarity already implies a higher </w:t>
      </w:r>
      <m:oMath>
        <m:sSub>
          <m:e>
            <m:r>
              <m:rPr>
                <m:sty m:val="i"/>
              </m:rPr>
              <w:rPr>
                <w:rFonts w:ascii="Latin Modern Math" w:hAnsi="Latin Modern Math"/>
              </w:rPr>
              <m:t xml:space="preserve">η</m:t>
            </m:r>
          </m:e>
          <m:sub>
            <m:r>
              <m:rPr>
                <m:sty m:val="p"/>
              </m:rPr>
              <w:rPr>
                <w:rFonts w:ascii="Latin Modern Math" w:hAnsi="Latin Modern Math"/>
              </w:rPr>
              <m:t xml:space="preserve">T</m:t>
            </m:r>
          </m:sub>
        </m:sSub>
      </m:oMath>
      <w:r>
        <w:rPr/>
        <w:t xml:space="preserve"> is withdrawn. The human’s contribution is not a measured high </w:t>
      </w:r>
      <m:oMath>
        <m:sSub>
          <m:e>
            <m:r>
              <m:rPr>
                <m:sty m:val="i"/>
              </m:rPr>
              <w:rPr>
                <w:rFonts w:ascii="Latin Modern Math" w:hAnsi="Latin Modern Math"/>
              </w:rPr>
              <m:t xml:space="preserve">η</m:t>
            </m:r>
          </m:e>
          <m:sub>
            <m:r>
              <m:rPr>
                <m:sty m:val="p"/>
              </m:rPr>
              <w:rPr>
                <w:rFonts w:ascii="Latin Modern Math" w:hAnsi="Latin Modern Math"/>
              </w:rPr>
              <m:t xml:space="preserve">KW</m:t>
            </m:r>
          </m:sub>
        </m:sSub>
      </m:oMath>
      <w:r>
        <w:rPr/>
        <w:t>, and fluent rendering does not establish either correctness or semantic efficiency.</w:t>
      </w:r>
    </w:p>
    <w:p>
      <w:pPr/>
      <w:r>
        <w:rPr/>
        <w:t>A comparison should include the human alone, the AI alone where that condition is meaningful, and the combined workflow on matched tasks. If no meaningful AI-only condition exists, the study can test augmentation of human performance but cannot establish superiority over both standalone components. Report quality, error, time and resource use separately. Define what “better” means before testing; an apparent gain on one outcome may accompany a loss on another. Training, coordination, verification, tool access and supporting infrastructure belong in the boundary when relevant.</w:t>
      </w:r>
    </w:p>
    <w:p>
      <w:pPr/>
      <w:r>
        <w:rPr/>
        <w:t xml:space="preserve">A </w:t>
      </w:r>
      <w:hyperlink r:id="rId173">
        <w:r>
          <w:rPr>
            <w:color w:val="000000"/>
            <w:u w:val="single"/>
          </w:rPr>
          <w:t xml:space="preserve">2024 meta-analysis by Vaccaro, Almaatouq and Malone</w:t>
        </w:r>
      </w:hyperlink>
      <w:r>
        <w:rPr/>
        <w:t xml:space="preserve"> found that human–AI performance depended on the task and comparison condition; synergy over the better component was not automatic. It concerns task performance, not this framework’s thermodynamic relational efficiency. A local collaboration needs its own evaluation, including uncertainty and failures.</w:t>
      </w:r>
    </w:p>
    <w:p>
      <w:pPr>
        <w:pStyle w:val="Heading3"/>
      </w:pPr>
      <w:bookmarkStart w:id="307" w:name="v4_l273"/>
      <w:r>
        <w:rPr>
          <w:sz w:val="26"/>
        </w:rPr>
        <w:t>3 THE PROGRESSION REVISITED</w:t>
      </w:r>
      <w:bookmarkEnd w:id="307"/>
    </w:p>
    <w:p>
      <w:pPr/>
      <w:r>
        <w:rPr/>
        <w:t>If a useful form of collaboration is demonstrated, the Progression can be explored as an ecology of working arrangements rather than a predetermined replacement of humans by AI. Which roles are complementary may vary with the task, the participants and the system.</w:t>
      </w:r>
    </w:p>
    <w:p>
      <w:pPr/>
      <w:r>
        <w:rPr/>
        <w:t>The Phase 3 question remains worth asking: what changes when biological and digital systems are coupled? The endosymbiosis analogy can suggest experiments. It does not establish that the combined workflow reaches an otherwise inaccessible efficiency region or produces something neither component could produce under any conditions.</w:t>
      </w:r>
    </w:p>
    <w:p>
      <w:pPr>
        <w:pStyle w:val="Heading3"/>
      </w:pPr>
      <w:bookmarkStart w:id="308" w:name="v4_l279"/>
      <w:r>
        <w:rPr>
          <w:sz w:val="26"/>
        </w:rPr>
        <w:t>4 THE BSB AT THE INTERFACE</w:t>
      </w:r>
      <w:bookmarkEnd w:id="308"/>
    </w:p>
    <w:p>
      <w:pPr/>
      <w:r>
        <w:rPr/>
        <w:t>The framework’s BSB distinction keeps claims about experience separate from claims about observable operation. A task-performance or energy measurement would not, by itself, establish that an AI has phenomenal experience or that a coupled workflow has a unified experiential subject.</w:t>
      </w:r>
    </w:p>
    <w:p>
      <w:pPr/>
      <w:r>
        <w:rPr/>
        <w:t>A collaboration may be useful without resolving those questions. Conversely, withholding an experiential conclusion does not establish thermodynamic superiority. The chapter presently makes neither a measured relational-efficiency claim nor a finding of unified experience.</w:t>
      </w:r>
    </w:p>
    <w:p>
      <w:pPr>
        <w:pStyle w:val="Heading2"/>
        <w:pageBreakBefore/>
        <w:spacing w:before="280" w:after="220"/>
      </w:pPr>
      <w:bookmarkStart w:id="309" w:name="v4_l285"/>
      <w:r>
        <w:rPr>
          <w:sz w:val="36"/>
        </w:rPr>
        <w:t>Chapter 6 What the Gradient Means</w:t>
      </w:r>
      <w:bookmarkEnd w:id="309"/>
    </w:p>
    <w:p>
      <w:pPr/>
      <w:r>
        <w:rPr/>
        <w:t>The Substrate Gradient and the Documents It Connects</w:t>
      </w:r>
    </w:p>
    <w:p>
      <w:pPr/>
      <w:r>
        <w:rPr/>
        <w:t>Epistemic Status: Synthesis of proposed connections and unresolved requirements. The chapter does not inherit scientific validation merely by citing other volumes in this collection.</w:t>
      </w:r>
    </w:p>
    <w:p>
      <w:pPr>
        <w:pStyle w:val="Heading3"/>
      </w:pPr>
      <w:bookmarkStart w:id="310" w:name="v4_l291"/>
      <w:r>
        <w:rPr>
          <w:sz w:val="26"/>
        </w:rPr>
        <w:t>1 WHAT THIS VOLUME CAN NOW CLAIM</w:t>
      </w:r>
      <w:bookmarkEnd w:id="310"/>
    </w:p>
    <w:p>
      <w:pPr/>
      <w:r>
        <w:rPr/>
        <w:t>The earlier volumes supplied this project’s physical questions, bodily concerns and relational vocabulary. Volume 4 examines how implementation and dependence might matter across biological, digital and combined systems. The revised Chapter 2 withdraws its universal efficiency bound and numerical substrate ranking.</w:t>
      </w:r>
    </w:p>
    <w:p>
      <w:pPr/>
      <w:r>
        <w:rPr/>
        <w:t>The remaining chapters therefore offer scenarios, proposed connections and comparison designs. They do not map every substrate to a known efficiency or demonstrate the consequences of hypothetical uploads.</w:t>
      </w:r>
    </w:p>
    <w:p>
      <w:pPr>
        <w:pStyle w:val="Heading3"/>
      </w:pPr>
      <w:bookmarkStart w:id="311" w:name="v4_l297"/>
      <w:r>
        <w:rPr>
          <w:sz w:val="26"/>
        </w:rPr>
        <w:t>2 WP 17 AND THE SUBSTRATE GRADIENT</w:t>
      </w:r>
      <w:bookmarkEnd w:id="311"/>
    </w:p>
    <w:p>
      <w:pPr/>
      <w:r>
        <w:rPr/>
        <w:t xml:space="preserve">WP-17 proposed a continuum instead of a biological–digital binary. The useful extension is to specify several dimensions of change and what a measurement would require. Neither that proposal nor this volume presently supplies a calculable </w:t>
      </w:r>
      <m:oMath>
        <m:sSub>
          <m:e>
            <m:r>
              <m:rPr>
                <m:sty m:val="i"/>
              </m:rPr>
              <w:rPr>
                <w:rFonts w:ascii="Latin Modern Math" w:hAnsi="Latin Modern Math"/>
              </w:rPr>
              <m:t xml:space="preserve">η</m:t>
            </m:r>
          </m:e>
          <m:sub>
            <m:r>
              <m:rPr>
                <m:sty m:val="p"/>
              </m:rPr>
              <w:rPr>
                <w:rFonts w:ascii="Latin Modern Math" w:hAnsi="Latin Modern Math"/>
              </w:rPr>
              <m:t xml:space="preserve">T</m:t>
            </m:r>
          </m:sub>
        </m:sSub>
      </m:oMath>
      <w:r>
        <w:rPr/>
        <w:t xml:space="preserve"> for every position.</w:t>
      </w:r>
    </w:p>
    <w:p>
      <w:pPr/>
      <w:r>
        <w:rPr/>
        <w:t>CSS signature changes, identity judgments and resource differences must not be treated as interchangeable observations. Their definitions and evidentiary requirements remain separate.</w:t>
      </w:r>
    </w:p>
    <w:p>
      <w:pPr>
        <w:pStyle w:val="Heading3"/>
      </w:pPr>
      <w:bookmarkStart w:id="312" w:name="v4_l303"/>
      <w:r>
        <w:rPr>
          <w:sz w:val="26"/>
        </w:rPr>
        <w:t>3 THE PHASE 2 SERIES</w:t>
      </w:r>
      <w:bookmarkEnd w:id="312"/>
    </w:p>
    <w:p>
      <w:pPr/>
      <w:r>
        <w:rPr/>
        <w:t>The links to CP-32 through CP-35 are proposed research connections. They do not demonstrate that the developmental concerns are efficiency-surface degradation events or establish a causal thermodynamic mechanism.</w:t>
      </w:r>
    </w:p>
    <w:p>
      <w:pPr/>
      <w:r>
        <w:rPr/>
        <w:t xml:space="preserve">A possible mismatch between reported experience and an independently defined outcome could be studied. It is not presently a difference between two measured </w:t>
      </w:r>
      <m:oMath>
        <m:sSub>
          <m:e>
            <m:r>
              <m:rPr>
                <m:sty m:val="i"/>
              </m:rPr>
              <w:rPr>
                <w:rFonts w:ascii="Latin Modern Math" w:hAnsi="Latin Modern Math"/>
              </w:rPr>
              <m:t xml:space="preserve">η</m:t>
            </m:r>
          </m:e>
          <m:sub>
            <m:r>
              <m:rPr>
                <m:sty m:val="p"/>
              </m:rPr>
              <w:rPr>
                <w:rFonts w:ascii="Latin Modern Math" w:hAnsi="Latin Modern Math"/>
              </w:rPr>
              <m:t xml:space="preserve">T</m:t>
            </m:r>
          </m:sub>
        </m:sSub>
      </m:oMath>
      <w:r>
        <w:rPr/>
        <w:t xml:space="preserve"> values, and it is not a validated diagnostic target.</w:t>
      </w:r>
    </w:p>
    <w:p>
      <w:pPr>
        <w:pStyle w:val="Heading3"/>
      </w:pPr>
      <w:bookmarkStart w:id="313" w:name="v4_l309"/>
      <w:r>
        <w:rPr>
          <w:sz w:val="26"/>
        </w:rPr>
        <w:t>4 CONNECTIONS ACROSS THE VOLUMES</w:t>
      </w:r>
      <w:bookmarkEnd w:id="313"/>
    </w:p>
    <w:p>
      <w:pPr/>
      <w:r>
        <w:rPr/>
        <w:t>The efficiency surface cannot serve as an established quantitative spine for the series. Volume 1 Chapter 6 distinguishes physical erasure from the proposed stages of relational processing. Chapter 2 of this volume separates a comparison framework from an unproved bound. These chapters provide internal continuity, not external scientific validation.</w:t>
      </w:r>
    </w:p>
    <w:p>
      <w:pPr/>
      <w:r>
        <w:rPr/>
        <w:t xml:space="preserve">Volume 2’s grief and Template Tax vocabulary may motivate questions, but this volume does not establish grief as </w:t>
      </w:r>
      <m:oMath>
        <m:sSub>
          <m:e>
            <m:r>
              <m:rPr>
                <m:sty m:val="i"/>
              </m:rPr>
              <w:rPr>
                <w:rFonts w:ascii="Latin Modern Math" w:hAnsi="Latin Modern Math"/>
              </w:rPr>
              <m:t xml:space="preserve">η</m:t>
            </m:r>
          </m:e>
          <m:sub>
            <m:r>
              <m:rPr>
                <m:sty m:val="p"/>
              </m:rPr>
              <w:rPr>
                <w:rFonts w:ascii="Latin Modern Math" w:hAnsi="Latin Modern Math"/>
              </w:rPr>
              <m:t xml:space="preserve">KW</m:t>
            </m:r>
          </m:sub>
        </m:sSub>
      </m:oMath>
      <w:r>
        <w:rPr/>
        <w:t xml:space="preserve"> collapse or Template Tax as chronic semantic-efficiency suppression. The existence of dissipative structures does not by itself show that relational systems are thermodynamically favored. Cosmological limits likewise do not supply the missing relational definitions or measurements.</w:t>
      </w:r>
    </w:p>
    <w:p>
      <w:pPr/>
      <w:r>
        <w:rPr/>
        <w:t>The revised Volumes 2, 3 and 5 preserve these distinctions. Their inclusion provides continuity, not independent validation. The separate papers in which the earlier claims originated still require their own review.</w:t>
      </w:r>
    </w:p>
    <w:p>
      <w:pPr>
        <w:pStyle w:val="Heading3"/>
      </w:pPr>
      <w:bookmarkStart w:id="314" w:name="v4_l317"/>
      <w:r>
        <w:rPr>
          <w:sz w:val="26"/>
        </w:rPr>
        <w:t>5 THE COMPOUND TRANSDUCER AS A RESEARCH QUESTION</w:t>
      </w:r>
      <w:bookmarkEnd w:id="314"/>
    </w:p>
    <w:p>
      <w:pPr/>
      <w:r>
        <w:rPr/>
        <w:t>The compound-transducer proposal asks whether a defined human–AI workflow improves selected outcomes relative to appropriate alternatives. The analogy can motivate the question; it does not answer it.</w:t>
      </w:r>
    </w:p>
    <w:p>
      <w:pPr/>
      <w:r>
        <w:rPr/>
        <w:t>Chapter 5 outlines the comparisons and resource boundaries needed to begin. An operational protocol, evidence and independent assessment would still be required. No experiment or validation is reported in this volume.</w:t>
      </w:r>
    </w:p>
    <w:p>
      <w:pPr>
        <w:pStyle w:val="Heading3"/>
      </w:pPr>
      <w:bookmarkStart w:id="315" w:name="v4_l323"/>
      <w:r>
        <w:rPr>
          <w:sz w:val="26"/>
        </w:rPr>
        <w:t>6 WHAT REMAINS USEFUL</w:t>
      </w:r>
      <w:bookmarkEnd w:id="315"/>
    </w:p>
    <w:p>
      <w:pPr/>
      <w:r>
        <w:rPr/>
        <w:t>The framework retains its interest in physical accounting, implementation and relational consequences. Its economy labels and BSB distinction can be used as conceptual tools, provided they are not presented as validated classifiers or proofs of experiential status. The SupoRel caution remains: performance or resource comparisons cannot determine moral worth.</w:t>
      </w:r>
    </w:p>
    <w:p>
      <w:pPr/>
      <w:r>
        <w:rPr/>
        <w:t>The gradient’s contribution is now a clearer set of questions and a record of what must be measured. Its quantitative promises are narrower than the original version claimed. That narrowing preserves a testable project rather than asking the physics to guarantee more than it does.</w:t>
      </w:r>
    </w:p>
    <w:p>
      <w:pPr>
        <w:pStyle w:val="Heading3"/>
      </w:pPr>
      <w:bookmarkStart w:id="316" w:name="v4_l329"/>
      <w:r>
        <w:rPr>
          <w:sz w:val="26"/>
        </w:rPr>
        <w:t>Framework cross references</w:t>
      </w:r>
      <w:bookmarkEnd w:id="316"/>
    </w:p>
    <w:p>
      <w:pPr/>
      <w:r>
        <w:rPr/>
        <w:t>WP-17: The Substrate Gradient. Conceptual scenarios requiring operational definitions.</w:t>
      </w:r>
    </w:p>
    <w:p>
      <w:pPr/>
      <w:r>
        <w:rPr/>
        <w:t>DFQ-002 Resolution and Supplement: Historical source of the withdrawn quantitative surface; Chapter 2 states the limitations that must accompany any reuse.</w:t>
      </w:r>
    </w:p>
    <w:p>
      <w:pPr/>
      <w:r>
        <w:rPr/>
        <w:t>CP-32 through CP-35: Phase 2 hypotheses, not validated thermodynamic mechanisms.</w:t>
      </w:r>
    </w:p>
    <w:p>
      <w:pPr/>
      <w:r>
        <w:rPr/>
        <w:t>Phase 2 Efficiency Integration Note: Proposed mapping; the claim of physical identity is not adopted here.</w:t>
      </w:r>
    </w:p>
    <w:p>
      <w:pPr/>
      <w:r>
        <w:rPr/>
        <w:t>Biological Efficiency Note: Historical substrate comparison; the universal 1,000× ranking is not adopted here.</w:t>
      </w:r>
    </w:p>
    <w:p>
      <w:pPr/>
      <w:r>
        <w:rPr/>
        <w:t>Cosmological Entropy Session Finding B4: Source of the compound-transducer analogy.</w:t>
      </w:r>
    </w:p>
    <w:p>
      <w:pPr/>
      <w:r>
        <w:rPr/>
        <w:t>Volume 1 Chapter 6: Corrected erasure accounting and limits of the transducer model.</w:t>
      </w:r>
    </w:p>
    <w:p>
      <w:pPr/>
      <w:r>
        <w:rPr/>
        <w:t>Volume 4 Chapter 2: Definitions and comparison requirements, not an externally validated bound.</w:t>
      </w:r>
    </w:p>
    <w:p>
      <w:pPr/>
      <w:r>
        <w:rPr/>
        <w:t>Volume 2 Chapter 4: Template Tax vocabulary; its clinical and thermodynamic claims are outside this chapter’s validation.</w:t>
      </w:r>
    </w:p>
    <w:p>
      <w:pPr>
        <w:pStyle w:val="Heading3"/>
      </w:pPr>
      <w:bookmarkStart w:id="317" w:name="v4_l349"/>
      <w:r>
        <w:rPr>
          <w:sz w:val="26"/>
        </w:rPr>
        <w:t>Closing boundaries</w:t>
      </w:r>
      <w:bookmarkEnd w:id="317"/>
    </w:p>
    <w:p>
      <w:pPr/>
      <w:r>
        <w:rPr/>
        <w:t>SupoRel: Neither a proposed efficiency measure nor a substrate classification establishes moral worth. This volume does not provide a validated relational diagnosis or prescribe treatment. Its conceptual comparisons remain subject to evidence and ethical limits.</w:t>
      </w:r>
    </w:p>
    <w:p>
      <w:pPr>
        <w:pStyle w:val="Heading3"/>
      </w:pPr>
      <w:bookmarkStart w:id="318" w:name="v4_l353"/>
      <w:r>
        <w:rPr>
          <w:sz w:val="26"/>
        </w:rPr>
        <w:t>Closing epigraph</w:t>
      </w:r>
      <w:bookmarkEnd w:id="318"/>
    </w:p>
    <w:p>
      <w:pPr/>
      <w:r>
        <w:rPr/>
        <w:t>Love reduces the entropy of the system and spends more than it saves.</w:t>
      </w:r>
    </w:p>
    <w:p>
      <w:pPr/>
      <w:r>
        <w:rPr/>
        <w:t>The closing line remains an epigraph, not a measured physical balance. The relational idea and its thermodynamic interpretation must be assessed separately.</w:t>
      </w:r>
    </w:p>
    <w:p>
      <w:pPr>
        <w:pStyle w:val="Heading2"/>
        <w:pageBreakBefore/>
        <w:spacing w:before="280" w:after="220"/>
      </w:pPr>
      <w:bookmarkStart w:id="319" w:name="v4_l359"/>
      <w:r>
        <w:rPr>
          <w:sz w:val="36"/>
        </w:rPr>
        <w:t>References</w:t>
      </w:r>
      <w:bookmarkEnd w:id="319"/>
    </w:p>
    <w:p>
      <w:pPr>
        <w:pStyle w:val="Heading3"/>
      </w:pPr>
      <w:bookmarkStart w:id="320" w:name="v4_l361"/>
      <w:r>
        <w:rPr>
          <w:sz w:val="26"/>
        </w:rPr>
        <w:t>Chapter 2 reference list</w:t>
      </w:r>
      <w:bookmarkEnd w:id="320"/>
    </w:p>
    <w:p>
      <w:pPr>
        <w:pStyle w:val="Reference"/>
      </w:pPr>
      <w:r>
        <w:rPr/>
        <w:t>The bracketed reference numbers used in Chapter 2 are local to Volume 4 and refer to the following ten sources.</w:t>
      </w:r>
    </w:p>
    <w:p>
      <w:pPr>
        <w:pStyle w:val="Reference"/>
      </w:pPr>
      <w:r>
        <w:rPr/>
        <w:t xml:space="preserve">[1] Bérut, A., et al. 2012. Experimental verification of Landauer’s principle linking information and thermodynamics. Nature 483, 187–189. </w:t>
      </w:r>
      <w:hyperlink r:id="rId32">
        <w:r>
          <w:rPr>
            <w:color w:val="000000"/>
            <w:u w:val="single"/>
          </w:rPr>
          <w:t xml:space="preserve">https://doi.org/10.1038/nature10872</w:t>
        </w:r>
      </w:hyperlink>
      <w:r>
        <w:rPr/>
        <w:t>.</w:t>
      </w:r>
    </w:p>
    <w:p>
      <w:pPr>
        <w:pStyle w:val="Reference"/>
      </w:pPr>
      <w:r>
        <w:rPr/>
        <w:t xml:space="preserve">[2] Bennett, C. H. 1973. Logical Reversibility of Computation. IBM Journal of Research and Development 17, 525–532. </w:t>
      </w:r>
      <w:hyperlink r:id="rId30">
        <w:r>
          <w:rPr>
            <w:color w:val="000000"/>
            <w:u w:val="single"/>
          </w:rPr>
          <w:t xml:space="preserve">https://doi.org/10.1147/rd.176.0525</w:t>
        </w:r>
      </w:hyperlink>
      <w:r>
        <w:rPr/>
        <w:t>.</w:t>
      </w:r>
      <w:r>
        <w:rPr/>
        <w:t xml:space="preserve"> University-hosted text: </w:t>
      </w:r>
      <w:hyperlink r:id="rId31">
        <w:r>
          <w:rPr>
            <w:color w:val="000000"/>
            <w:u w:val="single"/>
          </w:rPr>
          <w:t xml:space="preserve">https://www.cs.princeton.edu/courses/archive/fall06/cos576/papers/bennett73.html</w:t>
        </w:r>
      </w:hyperlink>
      <w:r>
        <w:rPr/>
        <w:t>.</w:t>
      </w:r>
    </w:p>
    <w:p>
      <w:pPr>
        <w:pStyle w:val="Reference"/>
      </w:pPr>
      <w:r>
        <w:rPr/>
        <w:t xml:space="preserve">[3] National Institute of Standards and Technology. Kelvin Boltzmann Constant. Exact </w:t>
      </w:r>
      <m:oMath>
        <m:sSub>
          <m:e>
            <m:r>
              <m:rPr>
                <m:sty m:val="i"/>
              </m:rPr>
              <w:rPr>
                <w:rFonts w:ascii="Latin Modern Math" w:hAnsi="Latin Modern Math"/>
              </w:rPr>
              <m:t xml:space="preserve">k</m:t>
            </m:r>
          </m:e>
          <m:sub>
            <m:r>
              <m:rPr>
                <m:sty m:val="p"/>
              </m:rPr>
              <w:rPr>
                <w:rFonts w:ascii="Latin Modern Math" w:hAnsi="Latin Modern Math"/>
              </w:rPr>
              <m:t xml:space="preserve">B</m:t>
            </m:r>
          </m:sub>
        </m:sSub>
      </m:oMath>
      <w:r>
        <w:rPr/>
        <w:t xml:space="preserve"> = 1.380649 × </w:t>
      </w:r>
      <m:oMath>
        <m:sSup>
          <m:e>
            <m:r>
              <m:rPr>
                <m:sty m:val="p"/>
              </m:rPr>
              <w:rPr>
                <w:rFonts w:ascii="Latin Modern Math" w:hAnsi="Latin Modern Math"/>
              </w:rPr>
              <m:t xml:space="preserve">10</m:t>
            </m:r>
          </m:e>
          <m:sup>
            <m:r>
              <m:rPr>
                <m:sty m:val="p"/>
              </m:rPr>
              <w:rPr>
                <w:rFonts w:ascii="Latin Modern Math" w:hAnsi="Latin Modern Math"/>
              </w:rPr>
              <m:t xml:space="preserve">-23</m:t>
            </m:r>
          </m:sup>
        </m:sSup>
      </m:oMath>
      <w:r>
        <w:rPr/>
        <w:t xml:space="preserve"> J/K. </w:t>
      </w:r>
      <w:hyperlink r:id="rId17">
        <w:r>
          <w:rPr>
            <w:color w:val="000000"/>
            <w:u w:val="single"/>
          </w:rPr>
          <w:t xml:space="preserve">https://www.nist.gov/si-redefinition/kelvin/kelvin-boltzmann-constant</w:t>
        </w:r>
      </w:hyperlink>
      <w:r>
        <w:rPr/>
        <w:t>.</w:t>
      </w:r>
    </w:p>
    <w:p>
      <w:pPr>
        <w:pStyle w:val="Reference"/>
      </w:pPr>
      <w:r>
        <w:rPr/>
        <w:t xml:space="preserve">[4] Kolchinsky, A., and Wolpert, D. H. 2018. Semantic information, autonomous agency and non-equilibrium statistical physics. Interface Focus 8, 20180041. </w:t>
      </w:r>
      <w:hyperlink r:id="rId36">
        <w:r>
          <w:rPr>
            <w:color w:val="000000"/>
            <w:u w:val="single"/>
          </w:rPr>
          <w:t xml:space="preserve">https://doi.org/10.1098/rsfs.2018.0041</w:t>
        </w:r>
      </w:hyperlink>
      <w:r>
        <w:rPr/>
        <w:t>.</w:t>
      </w:r>
      <w:r>
        <w:rPr/>
        <w:t xml:space="preserve"> </w:t>
      </w:r>
      <w:hyperlink r:id="rId37">
        <w:r>
          <w:rPr>
            <w:color w:val="000000"/>
            <w:u w:val="single"/>
          </w:rPr>
          <w:t xml:space="preserve">https://arxiv.org/abs/1806.08053</w:t>
        </w:r>
      </w:hyperlink>
      <w:r>
        <w:rPr/>
        <w:t>.</w:t>
      </w:r>
    </w:p>
    <w:p>
      <w:pPr>
        <w:pStyle w:val="Reference"/>
      </w:pPr>
      <w:r>
        <w:rPr/>
        <w:t xml:space="preserve">[5] Harris, J. J., Jolivet, R., and Attwell, D. 2012. Synaptic Energy Use and Supply. Neuron 75, 762–777, especially p. 764. </w:t>
      </w:r>
      <w:hyperlink r:id="rId39">
        <w:r>
          <w:rPr>
            <w:color w:val="000000"/>
            <w:u w:val="single"/>
          </w:rPr>
          <w:t xml:space="preserve">https://doi.org/10.1016/j.neuron.2012.08.019</w:t>
        </w:r>
      </w:hyperlink>
      <w:r>
        <w:rPr/>
        <w:t>.</w:t>
      </w:r>
      <w:r>
        <w:rPr/>
        <w:t xml:space="preserve"> Repository copy: </w:t>
      </w:r>
      <w:hyperlink r:id="rId40">
        <w:r>
          <w:rPr>
            <w:color w:val="000000"/>
            <w:u w:val="single"/>
          </w:rPr>
          <w:t xml:space="preserve">https://discovery.ucl.ac.uk/id/eprint/1368741/1/1368741.pdf</w:t>
        </w:r>
      </w:hyperlink>
      <w:r>
        <w:rPr/>
        <w:t>.</w:t>
      </w:r>
    </w:p>
    <w:p>
      <w:pPr>
        <w:pStyle w:val="Reference"/>
      </w:pPr>
      <w:r>
        <w:rPr/>
        <w:t xml:space="preserve">[6] Levy, W. B., and Calvert, V. G. 2021. Communication consumes 35 times more energy than computation in the human cortex but both costs are needed to predict synapse number. PNAS 118, e2008173118. </w:t>
      </w:r>
      <w:hyperlink r:id="rId42">
        <w:r>
          <w:rPr>
            <w:color w:val="000000"/>
            <w:u w:val="single"/>
          </w:rPr>
          <w:t xml:space="preserve">https://doi.org/10.1073/pnas.2008173118</w:t>
        </w:r>
      </w:hyperlink>
      <w:r>
        <w:rPr/>
        <w:t>.</w:t>
      </w:r>
      <w:r>
        <w:rPr/>
        <w:t xml:space="preserve"> </w:t>
      </w:r>
      <w:hyperlink r:id="rId174">
        <w:r>
          <w:rPr>
            <w:color w:val="000000"/>
            <w:u w:val="single"/>
          </w:rPr>
          <w:t xml:space="preserve">https://arxiv.org/abs/2102.06273</w:t>
        </w:r>
      </w:hyperlink>
      <w:r>
        <w:rPr/>
        <w:t>.</w:t>
      </w:r>
    </w:p>
    <w:p>
      <w:pPr>
        <w:pStyle w:val="Reference"/>
      </w:pPr>
      <w:r>
        <w:rPr/>
        <w:t xml:space="preserve">[7] Holt-Lunstad, J., Smith, T. B., Baker, M., Harris, T., and Stephenson, D. 2015. Loneliness and social isolation as risk factors for mortality: A meta-analytic review. Perspectives on Psychological Science 10, 227–237. </w:t>
      </w:r>
      <w:hyperlink r:id="rId175">
        <w:r>
          <w:rPr>
            <w:color w:val="000000"/>
            <w:u w:val="single"/>
          </w:rPr>
          <w:t xml:space="preserve">https://doi.org/10.1177/1745691614568352</w:t>
        </w:r>
      </w:hyperlink>
      <w:r>
        <w:rPr/>
        <w:t>.</w:t>
      </w:r>
      <w:r>
        <w:rPr/>
        <w:t xml:space="preserve"> </w:t>
      </w:r>
      <w:hyperlink r:id="rId176">
        <w:r>
          <w:rPr>
            <w:color w:val="000000"/>
            <w:u w:val="single"/>
          </w:rPr>
          <w:t xml:space="preserve">https://pubmed.ncbi.nlm.nih.gov/25910392/</w:t>
        </w:r>
      </w:hyperlink>
      <w:r>
        <w:rPr/>
        <w:t>.</w:t>
      </w:r>
    </w:p>
    <w:p>
      <w:pPr>
        <w:pStyle w:val="Reference"/>
      </w:pPr>
      <w:r>
        <w:rPr/>
        <w:t xml:space="preserve">[8] Wang, F., et al. 2023. A systematic review and meta-analysis of 90 cohort studies of social isolation, loneliness and mortality. Nature Human Behaviour 7, 1307–1319. </w:t>
      </w:r>
      <w:hyperlink r:id="rId177">
        <w:r>
          <w:rPr>
            <w:color w:val="000000"/>
            <w:u w:val="single"/>
          </w:rPr>
          <w:t xml:space="preserve">https://doi.org/10.1038/s41562-023-01617-6</w:t>
        </w:r>
      </w:hyperlink>
      <w:r>
        <w:rPr/>
        <w:t>.</w:t>
      </w:r>
      <w:r>
        <w:rPr/>
        <w:t xml:space="preserve"> </w:t>
      </w:r>
      <w:hyperlink r:id="rId178">
        <w:r>
          <w:rPr>
            <w:color w:val="000000"/>
            <w:u w:val="single"/>
          </w:rPr>
          <w:t xml:space="preserve">https://pubmed.ncbi.nlm.nih.gov/37337095/</w:t>
        </w:r>
      </w:hyperlink>
      <w:r>
        <w:rPr/>
        <w:t>.</w:t>
      </w:r>
    </w:p>
    <w:p>
      <w:pPr>
        <w:pStyle w:val="Reference"/>
      </w:pPr>
      <w:r>
        <w:rPr/>
        <w:t xml:space="preserve">[9] Govern, C. C., and ten Wolde, P. R. 2014. Optimal resource allocation in cellular sensing systems. PNAS 111, 17486–17491. </w:t>
      </w:r>
      <w:hyperlink r:id="rId179">
        <w:r>
          <w:rPr>
            <w:color w:val="000000"/>
            <w:u w:val="single"/>
          </w:rPr>
          <w:t xml:space="preserve">https://doi.org/10.1073/pnas.1411524111</w:t>
        </w:r>
      </w:hyperlink>
      <w:r>
        <w:rPr/>
        <w:t>.</w:t>
      </w:r>
      <w:r>
        <w:rPr/>
        <w:t xml:space="preserve"> </w:t>
      </w:r>
      <w:hyperlink r:id="rId180">
        <w:r>
          <w:rPr>
            <w:color w:val="000000"/>
            <w:u w:val="single"/>
          </w:rPr>
          <w:t xml:space="preserve">https://pmc.ncbi.nlm.nih.gov/articles/PMC4267345/</w:t>
        </w:r>
      </w:hyperlink>
      <w:r>
        <w:rPr/>
        <w:t>.</w:t>
      </w:r>
    </w:p>
    <w:p>
      <w:pPr>
        <w:pStyle w:val="Reference"/>
      </w:pPr>
      <w:r>
        <w:rPr/>
        <w:t xml:space="preserve">[10] Barato, A. C., and Seifert, U. 2015. Thermodynamic Uncertainty Relation for Biomolecular Processes. Physical Review Letters 114, 158101. </w:t>
      </w:r>
      <w:hyperlink r:id="rId181">
        <w:r>
          <w:rPr>
            <w:color w:val="000000"/>
            <w:u w:val="single"/>
          </w:rPr>
          <w:t xml:space="preserve">https://doi.org/10.1103/PhysRevLett.114.158101</w:t>
        </w:r>
      </w:hyperlink>
      <w:r>
        <w:rPr/>
        <w:t>.</w:t>
      </w:r>
      <w:r>
        <w:rPr/>
        <w:t xml:space="preserve"> </w:t>
      </w:r>
      <w:hyperlink r:id="rId182">
        <w:r>
          <w:rPr>
            <w:color w:val="000000"/>
            <w:u w:val="single"/>
          </w:rPr>
          <w:t xml:space="preserve">https://arxiv.org/abs/1502.05944</w:t>
        </w:r>
      </w:hyperlink>
      <w:r>
        <w:rPr/>
        <w:t>.</w:t>
      </w:r>
    </w:p>
    <w:p>
      <w:pPr>
        <w:pStyle w:val="Heading3"/>
      </w:pPr>
      <w:bookmarkStart w:id="321" w:name="v4_l385"/>
      <w:r>
        <w:rPr>
          <w:sz w:val="26"/>
        </w:rPr>
        <w:t>Studies cited in Chapters 3 and 5</w:t>
      </w:r>
      <w:bookmarkEnd w:id="321"/>
    </w:p>
    <w:p>
      <w:pPr>
        <w:pStyle w:val="Reference"/>
      </w:pPr>
      <w:r>
        <w:rPr/>
        <w:t xml:space="preserve">Van Heteren, J. A. A., and colleagues. 2025. Speech Perception in Noise After Cochlear Implantation for Single-Sided Deafness: A Randomized Clinical Trial. JAMA Otolaryngology–Head &amp; Neck Surgery 151, 211–219. DOI 10.1001/jamaoto.2024.4760. </w:t>
      </w:r>
      <w:hyperlink r:id="rId171">
        <w:r>
          <w:rPr>
            <w:color w:val="000000"/>
            <w:u w:val="single"/>
          </w:rPr>
          <w:t xml:space="preserve">Primary abstract and metadata</w:t>
        </w:r>
      </w:hyperlink>
      <w:r>
        <w:rPr/>
        <w:t>.</w:t>
      </w:r>
    </w:p>
    <w:p>
      <w:pPr>
        <w:pStyle w:val="Reference"/>
      </w:pPr>
      <w:r>
        <w:rPr/>
        <w:t xml:space="preserve">Hampson, R. E., and colleagues. 2018. Developing a hippocampal neural prosthetic to facilitate human memory encoding and recall. Journal of Neural Engineering 15, 036014. DOI 10.1088/1741-2552/aaaed7. </w:t>
      </w:r>
      <w:hyperlink r:id="rId172">
        <w:r>
          <w:rPr>
            <w:color w:val="000000"/>
            <w:u w:val="single"/>
          </w:rPr>
          <w:t xml:space="preserve">Primary abstract and metadata</w:t>
        </w:r>
      </w:hyperlink>
      <w:r>
        <w:rPr/>
        <w:t>.</w:t>
      </w:r>
    </w:p>
    <w:p>
      <w:pPr>
        <w:pStyle w:val="Reference"/>
      </w:pPr>
      <w:r>
        <w:rPr/>
        <w:t xml:space="preserve">Vaccaro, M., Almaatouq, A., and Malone, T. 2024. When combinations of humans and AI are useful: A systematic review and meta-analysis. Nature Human Behaviour 8, 2293–2303. DOI 10.1038/s41562-024-02024-1. </w:t>
      </w:r>
      <w:hyperlink r:id="rId183">
        <w:r>
          <w:rPr>
            <w:color w:val="000000"/>
            <w:u w:val="single"/>
          </w:rPr>
          <w:t xml:space="preserve">Full publisher article</w:t>
        </w:r>
      </w:hyperlink>
      <w:r>
        <w:rPr/>
        <w:t>.</w:t>
      </w:r>
    </w:p>
    <w:p>
      <w:pPr>
        <w:pStyle w:val="Reference"/>
      </w:pPr>
      <w:r>
        <w:rPr/>
        <w:t>The two device-study examples are limited to the inspected primary abstracts and available metadata; repository access prevented full-body inspection during the earlier pass. The human–AI meta-analysis was inspected in publisher full text for the retained claims. These sources do not validate relational efficiency, personal identity criteria or a universal developmental mechanism.</w:t>
      </w:r>
    </w:p>
    <w:p>
      <w:pPr>
        <w:pStyle w:val="Heading1"/>
        <w:pageBreakBefore/>
        <w:spacing w:before="2000"/>
        <w:jc w:val="center"/>
      </w:pPr>
      <w:bookmarkStart w:id="322" w:name="v5_l1"/>
      <w:r>
        <w:rPr>
          <w:sz w:val="50"/>
        </w:rPr>
        <w:t>Entropy Volume 5</w:t>
      </w:r>
      <w:bookmarkEnd w:id="322"/>
    </w:p>
    <w:p>
      <w:pPr>
        <w:pStyle w:val="Subtitle"/>
      </w:pPr>
      <w:bookmarkStart w:id="323" w:name="v5_l3"/>
      <w:r>
        <w:t>The Cosmological Budget</w:t>
      </w:r>
      <w:bookmarkEnd w:id="323"/>
    </w:p>
    <w:p>
      <w:pPr>
        <w:pStyle w:val="BookMetadata"/>
      </w:pPr>
      <w:r>
        <w:rPr/>
        <w:t>Second edition</w:t>
      </w:r>
    </w:p>
    <w:p>
      <w:pPr>
        <w:pStyle w:val="BookMetadata"/>
      </w:pPr>
      <w:r>
        <w:rPr/>
        <w:t>Michael S. Moniz</w:t>
      </w:r>
    </w:p>
    <w:p>
      <w:pPr>
        <w:pStyle w:val="BookMetadata"/>
      </w:pPr>
      <w:r>
        <w:rPr/>
        <w:t>Trinket Soul Framework</w:t>
      </w:r>
    </w:p>
    <w:p>
      <w:pPr>
        <w:pStyle w:val="BookMetadata"/>
      </w:pPr>
      <w:r>
        <w:rPr/>
        <w:t>October 2026</w:t>
      </w:r>
    </w:p>
    <w:p>
      <w:pPr>
        <w:pStyle w:val="Heading2"/>
        <w:pageBreakBefore/>
        <w:spacing w:before="280" w:after="220"/>
      </w:pPr>
      <w:bookmarkStart w:id="324" w:name="v5_l13"/>
      <w:r>
        <w:rPr>
          <w:sz w:val="36"/>
        </w:rPr>
        <w:t>About this volume</w:t>
      </w:r>
      <w:bookmarkEnd w:id="324"/>
    </w:p>
    <w:p>
      <w:pPr/>
      <w:r>
        <w:rPr/>
        <w:t>This volume asks what cosmology constrains about the physical conditions within which connection occurs. It distinguishes an entropy inventory from an accessible energy supply, a result within a model from an observation, and a physical information process from relational meaning. Cosmic futures remain conditional rather than a measured operating lifetime for connection.</w:t>
      </w:r>
    </w:p>
    <w:p>
      <w:pPr/>
      <w:r>
        <w:rPr/>
        <w:t>Reference groups C and I are local to this volume. Observational constraints, historical entropy estimates and theoretical constructions retain their source versions, assumptions and access limitations.</w:t>
      </w:r>
    </w:p>
    <w:p>
      <w:pPr>
        <w:pStyle w:val="Heading3"/>
      </w:pPr>
      <w:bookmarkStart w:id="325" w:name="v5_l19"/>
      <w:r>
        <w:rPr>
          <w:sz w:val="26"/>
        </w:rPr>
        <w:t>Edition and attribution</w:t>
      </w:r>
      <w:bookmarkEnd w:id="325"/>
    </w:p>
    <w:p>
      <w:pPr/>
      <w:r>
        <w:rPr/>
        <w:t>The original front matter and Chapter 1 credit Michael S. Moniz with Sigma, Deep Floor v4.0, and carry March 22, 2026. The expanded Chapters 2–6 credit Moniz with Sigma, Deep Floor v6.0, and carry March 2026. This edition follows the expanded six-chapter branch; the separate FINISHED coda is not included.</w:t>
      </w:r>
    </w:p>
    <w:p>
      <w:pPr/>
      <w:r>
        <w:rPr/>
        <w:t>The second-edition revision was prepared with AI assistance from CosmoDot, with separate AI scientific and editorial checks. It has not undergone human peer review and reports no new experiments. Historical AI collaborator labels document provenance; they do not identify underlying models or attribute the new text to those earlier collaborators. The framework’s proposed applications remain subject to specialist review and empirical testing.</w:t>
      </w:r>
    </w:p>
    <w:p>
      <w:pPr/>
      <w:r>
        <w:rPr/>
        <w:t xml:space="preserve">The </w:t>
      </w:r>
      <w:hyperlink r:id="rId184">
        <w:r>
          <w:rPr>
            <w:color w:val="000000"/>
            <w:u w:val="single"/>
          </w:rPr>
          <w:t xml:space="preserve">historical edition</w:t>
        </w:r>
      </w:hyperlink>
      <w:r>
        <w:rPr/>
        <w:t xml:space="preserve"> remains preserved. This text continues under </w:t>
      </w:r>
      <w:hyperlink r:id="rId10">
        <w:r>
          <w:rPr>
            <w:color w:val="000000"/>
            <w:u w:val="single"/>
          </w:rPr>
          <w:t xml:space="preserve">Creative Commons Attribution–NonCommercial–ShareAlike 4.0 International</w:t>
        </w:r>
      </w:hyperlink>
      <w:r>
        <w:rPr/>
        <w:t>. Detailed correction records are distinct from the reading text; publishing this volume does not silently amend the framework’s separate papers or complete its historical governance procedures.</w:t>
      </w:r>
    </w:p>
    <w:p>
      <w:pPr>
        <w:pStyle w:val="Heading2"/>
        <w:pageBreakBefore/>
        <w:spacing w:before="280" w:after="220"/>
      </w:pPr>
      <w:bookmarkStart w:id="326" w:name="v5_l31"/>
      <w:r>
        <w:rPr>
          <w:sz w:val="36"/>
        </w:rPr>
        <w:t>Chapter 1 The Problem</w:t>
      </w:r>
      <w:bookmarkEnd w:id="326"/>
    </w:p>
    <w:p>
      <w:pPr>
        <w:pStyle w:val="Heading3"/>
      </w:pPr>
      <w:bookmarkStart w:id="327" w:name="v5_l33"/>
      <w:r>
        <w:rPr>
          <w:sz w:val="26"/>
        </w:rPr>
        <w:t>The ledger at its widest</w:t>
      </w:r>
      <w:bookmarkEnd w:id="327"/>
    </w:p>
    <w:p>
      <w:pPr/>
      <w:r>
        <w:rPr/>
        <w:t>Epistemic status: this chapter frames the cosmological questions. Entropy estimates and horizon results have specified boundaries and model assumptions. Their application to a relational account remains a proposal, not a measured universal budget.</w:t>
      </w:r>
    </w:p>
    <w:p>
      <w:pPr>
        <w:pStyle w:val="Heading3"/>
      </w:pPr>
      <w:bookmarkStart w:id="328" w:name="v5_l37"/>
      <w:r>
        <w:rPr>
          <w:sz w:val="26"/>
        </w:rPr>
        <w:t>1 The question</w:t>
      </w:r>
      <w:bookmarkEnd w:id="328"/>
    </w:p>
    <w:p>
      <w:pPr/>
      <w:r>
        <w:rPr/>
        <w:t>The earlier volumes worked through the physical implementation of connection, the body, the proposed progression toward complexity, and differences between substrates. Their revised argument keeps those questions while withdrawing a common physical price for relational value and a universal efficiency ranking.</w:t>
      </w:r>
    </w:p>
    <w:p>
      <w:pPr/>
      <w:r>
        <w:rPr/>
        <w:t>This volume works outward. What does cosmology actually constrain about the systems in which relationships occur? How do an entropy inventory, an information bound, an accessible resource and an uncertain cosmic future differ? The scale becomes larger, but the need to define what is being counted does not diminish.</w:t>
      </w:r>
    </w:p>
    <w:p>
      <w:pPr/>
      <w:r>
        <w:rPr/>
        <w:t>The ledger remains a useful image for asking what an activity depends on and what it changes. It cannot supply the account by itself. A conversation, a star and a cosmological horizon do not become entries in one spendable balance merely because all have physical descriptions.</w:t>
      </w:r>
    </w:p>
    <w:p>
      <w:pPr>
        <w:pStyle w:val="Heading3"/>
      </w:pPr>
      <w:bookmarkStart w:id="329" w:name="v5_l45"/>
      <w:r>
        <w:rPr>
          <w:sz w:val="26"/>
        </w:rPr>
        <w:t>2 The scale and the boundary</w:t>
      </w:r>
      <w:bookmarkEnd w:id="329"/>
    </w:p>
    <w:p>
      <w:pPr/>
      <w:r>
        <w:rPr/>
        <w:t xml:space="preserve">Egan and Lineweaver's historical census estimated about 3.1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104</m:t>
            </m:r>
          </m:sup>
        </m:sSup>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of entropy in the observable universe, excluding its separately considered cosmic event horizon. They estimated about 2.6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122</m:t>
            </m:r>
          </m:sup>
        </m:sSup>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for that horizon, and a different inventory for its interior. These are model-dependent estimates with uncertainties, not direct readings of a universal entropy meter. [C01]</w:t>
      </w:r>
    </w:p>
    <w:p>
      <w:pPr/>
      <w:r>
        <w:rPr/>
        <w:t xml:space="preserve">The distinction matters before any subtraction. The observable universe and a cosmic event horizon enclose different regions. Entropy expressed in units of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also is not a count in bits; conversion requires the factor </w:t>
      </w:r>
      <m:oMath>
        <m:r>
          <m:rPr>
            <m:nor m:val="1"/>
            <m:sty m:val="p"/>
          </m:rPr>
          <w:rPr>
            <w:rFonts w:ascii="Latin Modern Math" w:hAnsi="Latin Modern Math"/>
          </w:rPr>
          <m:t xml:space="preserve">ln 2</m:t>
        </m:r>
      </m:oMath>
      <w:r>
        <w:rPr/>
        <w:t>. More fundamentally, an entropy difference does not by itself measure available work. Chapter 2 keeps the regions, quantities and source versions separate.</w:t>
      </w:r>
    </w:p>
    <w:p>
      <w:pPr/>
      <w:r>
        <w:rPr/>
        <w:t>The original volume identified the roughly eighteen-order numerical contrast with the Entropy Token Substrate itself. That identification is withdrawn. It does not establish how much usable energy a particular observer can access, a number of future relationships, or a guaranteed operating lifetime for biology or computation. A local resource limit can be real without being a debit against this proposed cosmic balance.</w:t>
      </w:r>
    </w:p>
    <w:p>
      <w:pPr/>
      <w:r>
        <w:rPr/>
        <w:t>The question is still worth asking at cosmological scale. An observer's causal access and the physical conditions supporting computation matter. What remains open is how a specified relational model depends on those constraints, rather than what meaning we can read directly from an enormous number.</w:t>
      </w:r>
    </w:p>
    <w:p>
      <w:pPr>
        <w:pStyle w:val="Heading3"/>
      </w:pPr>
      <w:bookmarkStart w:id="330" w:name="v5_l55"/>
      <w:r>
        <w:rPr>
          <w:sz w:val="26"/>
        </w:rPr>
        <w:t>3 What this volume maps</w:t>
      </w:r>
      <w:bookmarkEnd w:id="330"/>
    </w:p>
    <w:p>
      <w:pPr/>
      <w:r>
        <w:rPr/>
        <w:t>Chapter 2 examines entropy inventories, the different bounds invoked in their interpretation, the arrow of time and the proposed dual-reservoir account. It distinguishes historical estimates, mathematical results within models and unresolved claims.</w:t>
      </w:r>
    </w:p>
    <w:p>
      <w:pPr/>
      <w:r>
        <w:rPr/>
        <w:t>Chapter 3 examines the dark sector, cosmic horizons and black-hole thermodynamics. It treats current observations as constraints on models, not as a completed prediction of the universe's fate. Unknown dark-matter microphysics is not evidence of hidden relational activity.</w:t>
      </w:r>
    </w:p>
    <w:p>
      <w:pPr/>
      <w:r>
        <w:rPr/>
        <w:t>Chapter 4 asks what physical information preservation and recovery mean. Unitary evolution, quantum scrambling, accessible records and relational meaning require different accounts. A theorem about one cannot establish the others without a bridge.</w:t>
      </w:r>
    </w:p>
    <w:p>
      <w:pPr/>
      <w:r>
        <w:rPr/>
        <w:t>Chapter 5 examines four proposed responses to physical limits: many-worlds reasoning, digital transfer, reversible computing and biological longevity. Their feasibility and their costs need their own evidence. Thermodynamic consistency alone does not establish that a strategy works.</w:t>
      </w:r>
    </w:p>
    <w:p>
      <w:pPr/>
      <w:r>
        <w:rPr/>
        <w:t>Chapter 6 returns to the framework. It records which inferences no longer follow and what a testable replacement would require. The ambition is to connect the scales without making a larger scale confer authority on an unfinished model.</w:t>
      </w:r>
    </w:p>
    <w:p>
      <w:pPr>
        <w:pStyle w:val="Heading2"/>
        <w:pageBreakBefore/>
        <w:spacing w:before="280" w:after="220"/>
      </w:pPr>
      <w:bookmarkStart w:id="331" w:name="v5_l67"/>
      <w:r>
        <w:rPr>
          <w:sz w:val="36"/>
        </w:rPr>
        <w:t>Chapter 2 The Known Numbers</w:t>
      </w:r>
      <w:bookmarkEnd w:id="331"/>
    </w:p>
    <w:p>
      <w:pPr>
        <w:pStyle w:val="Heading3"/>
      </w:pPr>
      <w:bookmarkStart w:id="332" w:name="v5_l69"/>
      <w:r>
        <w:rPr>
          <w:sz w:val="26"/>
        </w:rPr>
        <w:t>Entropy inventories bounds and the arrow of time</w:t>
      </w:r>
      <w:bookmarkEnd w:id="332"/>
    </w:p>
    <w:p>
      <w:pPr/>
      <w:r>
        <w:rPr/>
        <w:t>Epistemic status: The physical quantities in this chapter have different evidential statuses. Some are inferred from observations within specified models; some are semiclassical results; some are proposals about quantum gravity or initial conditions. None establishes the relational framework. The question is what these quantities permit us to say, without asking them to say more.</w:t>
      </w:r>
    </w:p>
    <w:p>
      <w:pPr>
        <w:pStyle w:val="Heading3"/>
      </w:pPr>
      <w:bookmarkStart w:id="333" w:name="v5_l73"/>
      <w:r>
        <w:rPr>
          <w:sz w:val="26"/>
        </w:rPr>
        <w:t>1 The inventory and its boundary</w:t>
      </w:r>
      <w:bookmarkEnd w:id="333"/>
    </w:p>
    <w:p>
      <w:pPr/>
      <w:r>
        <w:rPr/>
        <w:t>The word budget can hide a choice. Which region are we counting? Which degrees of freedom? Does the account include a cosmological horizon, or only what lies inside a selected volume? We need those answers before attaching a number to the universe.</w:t>
      </w:r>
    </w:p>
    <w:p>
      <w:pPr/>
      <w:r>
        <w:rPr/>
        <w:t>Egan and Lineweaver's 2010 calculation distinguishes the observable-universe interior from the smaller cosmic-event-horizon interior. Their historical, model-dependent estimates include the following central values; they are not a precision census as of 2026. This is a new summary table of that source’s historical estimates, not a recovered table from the manuscript. [C01]</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3816"/>
        <w:gridCol w:w="1872"/>
        <w:gridCol w:w="3672"/>
      </w:tblGrid>
      <w:tr>
        <w:trPr>
          <w:cantSplit/>
          <w:tblHeader w:val="true"/>
        </w:trPr>
        <w:tc>
          <w:tcPr>
            <w:tcW w:type="dxa" w:w="3816"/>
            <w:vAlign w:val="center"/>
            <w:shd w:fill="EDEDED"/>
          </w:tcPr>
          <w:p>
            <w:pPr>
              <w:pStyle w:val="BookTable"/>
              <w:keepNext/>
            </w:pPr>
            <w:r>
              <w:rPr>
                <w:b/>
              </w:rPr>
              <w:t>Quantity in the 2010 account</w:t>
            </w:r>
          </w:p>
        </w:tc>
        <w:tc>
          <w:tcPr>
            <w:tcW w:type="dxa" w:w="1872"/>
            <w:vAlign w:val="center"/>
            <w:shd w:fill="EDEDED"/>
          </w:tcPr>
          <w:p>
            <w:pPr>
              <w:pStyle w:val="BookTable"/>
              <w:keepNext/>
            </w:pPr>
            <w:r>
              <w:rPr>
                <w:b/>
              </w:rPr>
              <w:t xml:space="preserve">Entropy divided by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p>
        </w:tc>
        <w:tc>
          <w:tcPr>
            <w:tcW w:type="dxa" w:w="3672"/>
            <w:vAlign w:val="center"/>
            <w:shd w:fill="EDEDED"/>
          </w:tcPr>
          <w:p>
            <w:pPr>
              <w:pStyle w:val="BookTable"/>
              <w:keepNext/>
            </w:pPr>
            <w:r>
              <w:rPr>
                <w:b/>
              </w:rPr>
              <w:t>Boundary</w:t>
            </w:r>
          </w:p>
        </w:tc>
      </w:tr>
      <w:tr>
        <w:trPr>
          <w:cantSplit/>
        </w:trPr>
        <w:tc>
          <w:tcPr>
            <w:tcW w:type="dxa" w:w="3816"/>
            <w:vAlign w:val="center"/>
          </w:tcPr>
          <w:p>
            <w:pPr>
              <w:pStyle w:val="BookTable"/>
              <w:keepNext w:val="0"/>
            </w:pPr>
            <w:r>
              <w:rPr/>
              <w:t>Total interior inventory, dominated by supermassive black holes</w:t>
            </w:r>
          </w:p>
        </w:tc>
        <w:tc>
          <w:tcPr>
            <w:tcW w:type="dxa" w:w="1872"/>
            <w:vAlign w:val="center"/>
          </w:tcPr>
          <w:p>
            <w:pPr>
              <w:pStyle w:val="BookTable"/>
              <w:keepNext w:val="0"/>
            </w:pPr>
            <w:r>
              <w:rPr/>
              <w:t xml:space="preserve">3.1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104</m:t>
                  </m:r>
                </m:sup>
              </m:sSup>
            </m:oMath>
          </w:p>
        </w:tc>
        <w:tc>
          <w:tcPr>
            <w:tcW w:type="dxa" w:w="3672"/>
            <w:vAlign w:val="center"/>
          </w:tcPr>
          <w:p>
            <w:pPr>
              <w:pStyle w:val="BookTable"/>
              <w:keepNext w:val="0"/>
            </w:pPr>
            <w:r>
              <w:rPr/>
              <w:t>Present observable volume in their model</w:t>
            </w:r>
          </w:p>
        </w:tc>
      </w:tr>
      <w:tr>
        <w:trPr>
          <w:cantSplit/>
        </w:trPr>
        <w:tc>
          <w:tcPr>
            <w:tcW w:type="dxa" w:w="3816"/>
            <w:vAlign w:val="center"/>
          </w:tcPr>
          <w:p>
            <w:pPr>
              <w:pStyle w:val="BookTable"/>
              <w:keepNext w:val="0"/>
            </w:pPr>
            <w:r>
              <w:rPr/>
              <w:t>Stellar black holes in the stated 2.5–15 solar-mass range</w:t>
            </w:r>
          </w:p>
        </w:tc>
        <w:tc>
          <w:tcPr>
            <w:tcW w:type="dxa" w:w="1872"/>
            <w:vAlign w:val="center"/>
          </w:tcPr>
          <w:p>
            <w:pPr>
              <w:pStyle w:val="BookTable"/>
              <w:keepNext w:val="0"/>
            </w:pPr>
            <w:r>
              <w:rPr/>
              <w:t xml:space="preserve">5.9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97</m:t>
                  </m:r>
                </m:sup>
              </m:sSup>
            </m:oMath>
          </w:p>
        </w:tc>
        <w:tc>
          <w:tcPr>
            <w:tcW w:type="dxa" w:w="3672"/>
            <w:vAlign w:val="center"/>
          </w:tcPr>
          <w:p>
            <w:pPr>
              <w:pStyle w:val="BookTable"/>
              <w:keepNext w:val="0"/>
            </w:pPr>
            <w:r>
              <w:rPr/>
              <w:t>Same observable volume</w:t>
            </w:r>
          </w:p>
        </w:tc>
      </w:tr>
      <w:tr>
        <w:trPr>
          <w:cantSplit/>
        </w:trPr>
        <w:tc>
          <w:tcPr>
            <w:tcW w:type="dxa" w:w="3816"/>
            <w:vAlign w:val="center"/>
          </w:tcPr>
          <w:p>
            <w:pPr>
              <w:pStyle w:val="BookTable"/>
              <w:keepNext w:val="0"/>
            </w:pPr>
            <w:r>
              <w:rPr/>
              <w:t>CMB photons</w:t>
            </w:r>
          </w:p>
        </w:tc>
        <w:tc>
          <w:tcPr>
            <w:tcW w:type="dxa" w:w="1872"/>
            <w:vAlign w:val="center"/>
          </w:tcPr>
          <w:p>
            <w:pPr>
              <w:pStyle w:val="BookTable"/>
              <w:keepNext w:val="0"/>
            </w:pPr>
            <w:r>
              <w:rPr/>
              <w:t xml:space="preserve">5.40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89</m:t>
                  </m:r>
                </m:sup>
              </m:sSup>
            </m:oMath>
          </w:p>
        </w:tc>
        <w:tc>
          <w:tcPr>
            <w:tcW w:type="dxa" w:w="3672"/>
            <w:vAlign w:val="center"/>
          </w:tcPr>
          <w:p>
            <w:pPr>
              <w:pStyle w:val="BookTable"/>
              <w:keepNext w:val="0"/>
            </w:pPr>
            <w:r>
              <w:rPr/>
              <w:t>Same observable volume</w:t>
            </w:r>
          </w:p>
        </w:tc>
      </w:tr>
      <w:tr>
        <w:trPr>
          <w:cantSplit/>
        </w:trPr>
        <w:tc>
          <w:tcPr>
            <w:tcW w:type="dxa" w:w="3816"/>
            <w:vAlign w:val="center"/>
          </w:tcPr>
          <w:p>
            <w:pPr>
              <w:pStyle w:val="BookTable"/>
              <w:keepNext w:val="0"/>
            </w:pPr>
            <w:r>
              <w:rPr/>
              <w:t>Relic neutrinos</w:t>
            </w:r>
          </w:p>
        </w:tc>
        <w:tc>
          <w:tcPr>
            <w:tcW w:type="dxa" w:w="1872"/>
            <w:vAlign w:val="center"/>
          </w:tcPr>
          <w:p>
            <w:pPr>
              <w:pStyle w:val="BookTable"/>
              <w:keepNext w:val="0"/>
            </w:pPr>
            <w:r>
              <w:rPr/>
              <w:t xml:space="preserve">5.16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89</m:t>
                  </m:r>
                </m:sup>
              </m:sSup>
            </m:oMath>
          </w:p>
        </w:tc>
        <w:tc>
          <w:tcPr>
            <w:tcW w:type="dxa" w:w="3672"/>
            <w:vAlign w:val="center"/>
          </w:tcPr>
          <w:p>
            <w:pPr>
              <w:pStyle w:val="BookTable"/>
              <w:keepNext w:val="0"/>
            </w:pPr>
            <w:r>
              <w:rPr/>
              <w:t>Same observable volume</w:t>
            </w:r>
          </w:p>
        </w:tc>
      </w:tr>
      <w:tr>
        <w:trPr>
          <w:cantSplit/>
        </w:trPr>
        <w:tc>
          <w:tcPr>
            <w:tcW w:type="dxa" w:w="3816"/>
            <w:vAlign w:val="center"/>
          </w:tcPr>
          <w:p>
            <w:pPr>
              <w:pStyle w:val="BookTable"/>
              <w:keepNext w:val="0"/>
            </w:pPr>
            <w:r>
              <w:rPr/>
              <w:t>Interior inventory within the cosmic event horizon</w:t>
            </w:r>
          </w:p>
        </w:tc>
        <w:tc>
          <w:tcPr>
            <w:tcW w:type="dxa" w:w="1872"/>
            <w:vAlign w:val="center"/>
          </w:tcPr>
          <w:p>
            <w:pPr>
              <w:pStyle w:val="BookTable"/>
              <w:keepNext w:val="0"/>
            </w:pPr>
            <w:r>
              <w:rPr/>
              <w:t xml:space="preserve">1.2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103</m:t>
                  </m:r>
                </m:sup>
              </m:sSup>
            </m:oMath>
          </w:p>
        </w:tc>
        <w:tc>
          <w:tcPr>
            <w:tcW w:type="dxa" w:w="3672"/>
            <w:vAlign w:val="center"/>
          </w:tcPr>
          <w:p>
            <w:pPr>
              <w:pStyle w:val="BookTable"/>
              <w:keepNext w:val="0"/>
            </w:pPr>
            <w:r>
              <w:rPr/>
              <w:t>Event-horizon interior</w:t>
            </w:r>
          </w:p>
        </w:tc>
      </w:tr>
      <w:tr>
        <w:trPr>
          <w:cantSplit/>
        </w:trPr>
        <w:tc>
          <w:tcPr>
            <w:tcW w:type="dxa" w:w="3816"/>
            <w:vAlign w:val="center"/>
          </w:tcPr>
          <w:p>
            <w:pPr>
              <w:pStyle w:val="BookTable"/>
              <w:keepNext w:val="0"/>
            </w:pPr>
            <w:r>
              <w:rPr/>
              <w:t>Cosmic event horizon itself</w:t>
            </w:r>
          </w:p>
        </w:tc>
        <w:tc>
          <w:tcPr>
            <w:tcW w:type="dxa" w:w="1872"/>
            <w:vAlign w:val="center"/>
          </w:tcPr>
          <w:p>
            <w:pPr>
              <w:pStyle w:val="BookTable"/>
              <w:keepNext w:val="0"/>
            </w:pPr>
            <w:r>
              <w:rPr/>
              <w:t xml:space="preserve">2.6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122</m:t>
                  </m:r>
                </m:sup>
              </m:sSup>
            </m:oMath>
          </w:p>
        </w:tc>
        <w:tc>
          <w:tcPr>
            <w:tcW w:type="dxa" w:w="3672"/>
            <w:vAlign w:val="center"/>
          </w:tcPr>
          <w:p>
            <w:pPr>
              <w:pStyle w:val="BookTable"/>
              <w:keepNext w:val="0"/>
            </w:pPr>
            <w:r>
              <w:rPr/>
              <w:t>Horizon area, not interior matter</w:t>
            </w:r>
          </w:p>
        </w:tc>
      </w:tr>
    </w:tbl>
    <w:p>
      <w:pPr>
        <w:spacing w:after="80" w:line="40" w:lineRule="exact"/>
      </w:pPr>
      <w:r>
        <w:rPr>
          <w:sz w:val="4"/>
        </w:rPr>
      </w:r>
    </w:p>
    <w:p>
      <w:pPr/>
      <w:r>
        <w:rPr/>
        <w:t xml:space="preserve">The total observable-interior estimate carries an uncertainty of +3.0/−1.7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104</m:t>
            </m:r>
          </m:sup>
        </m:sSup>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the horizon estimate is ±0.3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122</m:t>
            </m:r>
          </m:sup>
        </m:sSup>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The small stellar-black-hole number in the earlier chapter was not the population total in this source. [C01]</w:t>
      </w:r>
    </w:p>
    <w:p>
      <w:pPr/>
      <w:r>
        <w:rPr/>
        <w:t xml:space="preserve">Entropy S has units of joules per kelvin. </w:t>
      </w:r>
      <m:oMath>
        <m:f>
          <m:num>
            <m:r>
              <m:rPr>
                <m:sty m:val="i"/>
              </m:rPr>
              <w:rPr>
                <w:rFonts w:ascii="Latin Modern Math" w:hAnsi="Latin Modern Math"/>
              </w:rPr>
              <m:t xml:space="preserve">S</m:t>
            </m:r>
          </m:num>
          <m:den>
            <m:sSub>
              <m:e>
                <m:r>
                  <m:rPr>
                    <m:sty m:val="i"/>
                  </m:rPr>
                  <w:rPr>
                    <w:rFonts w:ascii="Latin Modern Math" w:hAnsi="Latin Modern Math"/>
                  </w:rPr>
                  <m:t xml:space="preserve">k</m:t>
                </m:r>
              </m:e>
              <m:sub>
                <m:r>
                  <m:rPr>
                    <m:nor m:val="1"/>
                    <m:sty m:val="p"/>
                  </m:rPr>
                  <w:rPr>
                    <w:rFonts w:ascii="Latin Modern Math" w:hAnsi="Latin Modern Math"/>
                  </w:rPr>
                  <m:t xml:space="preserve">B</m:t>
                </m:r>
              </m:sub>
            </m:sSub>
          </m:den>
        </m:f>
      </m:oMath>
      <w:r>
        <w:rPr/>
        <w:t xml:space="preserve"> is dimensionless; </w:t>
      </w:r>
      <m:oMath>
        <m:f>
          <m:num>
            <m:r>
              <m:rPr>
                <m:sty m:val="i"/>
              </m:rPr>
              <w:rPr>
                <w:rFonts w:ascii="Latin Modern Math" w:hAnsi="Latin Modern Math"/>
              </w:rPr>
              <m:t xml:space="preserve">S</m:t>
            </m:r>
          </m:num>
          <m:den>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den>
        </m:f>
      </m:oMath>
      <w:r>
        <w:rPr/>
        <w:t xml:space="preserve"> expresses that same entropy in bit-equivalent units. Calling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104</m:t>
            </m:r>
          </m:sup>
        </m:sSup>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a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104</m:t>
            </m:r>
          </m:sup>
        </m:sSup>
      </m:oMath>
      <w:r>
        <w:rPr/>
        <w:t>-bit inventory drops the conversion factor and, more importantly, can suggest a directly accessible memory that has not been identified. A horizon entropy, a coarse-grained matter entropy and a message's Shannon entropy need not describe the same object.</w:t>
      </w:r>
    </w:p>
    <w:p>
      <w:pPr/>
      <w:r>
        <w:rPr/>
        <w:t>The 2025 published census by Profumo and colleagues broadens the inventory and still finds supermassive black holes dominant among its known interior components. Its numerical black-hole results are not reconciled between the main equations and its summary table in this review. I do not choose one silently or call the paper a confirmation of the old total. The evidence notes identify the discrepancy; an updated precision inventory remains unresolved here. Its large hypothetical dark-sector contributions are model explorations, not detections. [C02]</w:t>
      </w:r>
    </w:p>
    <w:p>
      <w:pPr/>
      <w:r>
        <w:rPr/>
        <w:t>Chen, Jani and Kephart's January 2026 preprint models the entropy history of stellar and intermediate-mass black holes and their mergers. Its crossing of the CMB contribution near z ≈ 12 is a population-model result, not a direct entropy observation of that epoch. It does not establish that gravitational processes dominated before the first galaxies. When a present-day black-hole inventory already includes merger remnants, adding their entire merger-produced entropy again would double count part of the history. [C03]</w:t>
      </w:r>
    </w:p>
    <w:p>
      <w:pPr/>
      <w:r>
        <w:rPr/>
        <w:t>The relational question survives the correction. Human communication is physically situated within cosmic history. But no census cited here isolates a measured relational-entropy fraction. A system's accumulated entropy and its entropy-production rate are also different quantities. We cannot compare them by calling one a rounding error against the other. We can instead ask for an activity's resources, duration, boundary and measurable effects.</w:t>
      </w:r>
    </w:p>
    <w:p>
      <w:pPr>
        <w:pStyle w:val="Heading3"/>
      </w:pPr>
      <w:bookmarkStart w:id="334" w:name="v5_l98"/>
      <w:r>
        <w:rPr>
          <w:sz w:val="26"/>
        </w:rPr>
        <w:t>2 Several bounds rather than one universal ceiling</w:t>
      </w:r>
      <w:bookmarkEnd w:id="334"/>
    </w:p>
    <w:p>
      <w:pPr/>
      <w:r>
        <w:rPr/>
        <w:t>The earlier text joined different gravitational results under one name. They should be separated.</w:t>
      </w:r>
    </w:p>
    <w:p>
      <w:pPr/>
      <w:r>
        <w:rPr/>
        <w:t>For a suitably defined bounded system of energy E and enclosing radius R, the familiar Bekenstein expression is</w:t>
      </w:r>
    </w:p>
    <w:p>
      <w:pPr>
        <w:pStyle w:val="Equation"/>
      </w:pPr>
      <m:oMathPara>
        <m:oMath>
          <m:r>
            <m:rPr>
              <m:sty m:val="i"/>
            </m:rPr>
            <w:rPr>
              <w:rFonts w:ascii="Latin Modern Math" w:hAnsi="Latin Modern Math"/>
            </w:rPr>
            <m:t xml:space="preserve">S ≤ </m:t>
          </m:r>
          <m:f>
            <m:num>
              <m:r>
                <m:rPr>
                  <m:sty m:val="i"/>
                </m:rPr>
                <w:rPr>
                  <w:rFonts w:ascii="Latin Modern Math" w:hAnsi="Latin Modern Math"/>
                </w:rPr>
                <m:t xml:space="preserve">2π </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E R</m:t>
              </m:r>
            </m:num>
            <m:den>
              <m:r>
                <m:rPr>
                  <m:sty m:val="i"/>
                </m:rPr>
                <w:rPr>
                  <w:rFonts w:ascii="Latin Modern Math" w:hAnsi="Latin Modern Math"/>
                </w:rPr>
                <m:t xml:space="preserve">ℏ c</m:t>
              </m:r>
            </m:den>
          </m:f>
          <m:r>
            <m:rPr>
              <m:nor m:val="1"/>
              <m:sty m:val="p"/>
            </m:rPr>
            <w:rPr>
              <w:rFonts w:ascii="Latin Modern Math" w:hAnsi="Latin Modern Math"/>
            </w:rPr>
            <m:t xml:space="preserve">.</m:t>
          </m:r>
        </m:oMath>
      </m:oMathPara>
    </w:p>
    <w:p>
      <w:pPr/>
      <w:r>
        <w:rPr/>
        <w:t>Its original thought-experiment derivation assumes negligible self-gravity. It is not simply an area formula: at fixed R its right side depends on energy. Its use requires a suitable definition of system, energy and entropy, rather than an arbitrary cosmological volume. [C04]</w:t>
      </w:r>
    </w:p>
    <w:p>
      <w:pPr/>
      <w:r>
        <w:rPr/>
        <w:t>The semiclassical black-hole area law is</w:t>
      </w:r>
    </w:p>
    <w:p>
      <w:pPr>
        <w:pStyle w:val="Equation"/>
      </w:pPr>
      <m:oMathPara>
        <m:oMath>
          <m:sSub>
            <m:e>
              <m:r>
                <m:rPr>
                  <m:sty m:val="i"/>
                </m:rPr>
                <w:rPr>
                  <w:rFonts w:ascii="Latin Modern Math" w:hAnsi="Latin Modern Math"/>
                </w:rPr>
                <m:t xml:space="preserve">S</m:t>
              </m:r>
            </m:e>
            <m:sub>
              <m:r>
                <m:rPr>
                  <m:nor m:val="1"/>
                  <m:sty m:val="p"/>
                </m:rPr>
                <w:rPr>
                  <w:rFonts w:ascii="Latin Modern Math" w:hAnsi="Latin Modern Math"/>
                </w:rPr>
                <m:t xml:space="preserve">BH</m:t>
              </m:r>
            </m:sub>
          </m:sSub>
          <m:r>
            <m:rPr>
              <m:sty m:val="i"/>
            </m:rPr>
            <w:rPr>
              <w:rFonts w:ascii="Latin Modern Math" w:hAnsi="Latin Modern Math"/>
            </w:rPr>
            <m:t xml:space="preserve"> = </m:t>
          </m:r>
          <m:f>
            <m:num>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A</m:t>
              </m:r>
            </m:num>
            <m:den>
              <m:r>
                <m:rPr>
                  <m:sty m:val="i"/>
                </m:rPr>
                <w:rPr>
                  <w:rFonts w:ascii="Latin Modern Math" w:hAnsi="Latin Modern Math"/>
                </w:rPr>
                <m:t xml:space="preserve">4 </m:t>
              </m:r>
              <m:sSubSup>
                <m:e>
                  <m:r>
                    <m:rPr>
                      <m:sty m:val="i"/>
                    </m:rPr>
                    <w:rPr>
                      <w:rFonts w:ascii="Latin Modern Math" w:hAnsi="Latin Modern Math"/>
                    </w:rPr>
                    <m:t xml:space="preserve">ℓ</m:t>
                  </m:r>
                </m:e>
                <m:sub>
                  <m:r>
                    <m:rPr>
                      <m:nor m:val="1"/>
                      <m:sty m:val="p"/>
                    </m:rPr>
                    <w:rPr>
                      <w:rFonts w:ascii="Latin Modern Math" w:hAnsi="Latin Modern Math"/>
                    </w:rPr>
                    <m:t xml:space="preserve">P</m:t>
                  </m:r>
                </m:sub>
                <m:sup>
                  <m:r>
                    <m:rPr>
                      <m:nor m:val="1"/>
                      <m:sty m:val="p"/>
                    </m:rPr>
                    <w:rPr>
                      <w:rFonts w:ascii="Latin Modern Math" w:hAnsi="Latin Modern Math"/>
                    </w:rPr>
                    <m:t xml:space="preserve">2</m:t>
                  </m:r>
                </m:sup>
              </m:sSubSup>
            </m:den>
          </m:f>
          <m:r>
            <m:rPr>
              <m:nor m:val="1"/>
              <m:sty m:val="p"/>
            </m:rPr>
            <w:rPr>
              <w:rFonts w:ascii="Latin Modern Math" w:hAnsi="Latin Modern Math"/>
            </w:rPr>
            <m:t xml:space="preserve">,  </m:t>
          </m:r>
          <m:sSubSup>
            <m:e>
              <m:r>
                <m:rPr>
                  <m:sty m:val="i"/>
                </m:rPr>
                <w:rPr>
                  <w:rFonts w:ascii="Latin Modern Math" w:hAnsi="Latin Modern Math"/>
                </w:rPr>
                <m:t xml:space="preserve">ℓ</m:t>
              </m:r>
            </m:e>
            <m:sub>
              <m:r>
                <m:rPr>
                  <m:nor m:val="1"/>
                  <m:sty m:val="p"/>
                </m:rPr>
                <w:rPr>
                  <w:rFonts w:ascii="Latin Modern Math" w:hAnsi="Latin Modern Math"/>
                </w:rPr>
                <m:t xml:space="preserve">P</m:t>
              </m:r>
            </m:sub>
            <m:sup>
              <m:r>
                <m:rPr>
                  <m:nor m:val="1"/>
                  <m:sty m:val="p"/>
                </m:rPr>
                <w:rPr>
                  <w:rFonts w:ascii="Latin Modern Math" w:hAnsi="Latin Modern Math"/>
                </w:rPr>
                <m:t xml:space="preserve">2</m:t>
              </m:r>
            </m:sup>
          </m:sSubSup>
          <m:r>
            <m:rPr>
              <m:sty m:val="i"/>
            </m:rPr>
            <w:rPr>
              <w:rFonts w:ascii="Latin Modern Math" w:hAnsi="Latin Modern Math"/>
            </w:rPr>
            <m:t xml:space="preserve"> = </m:t>
          </m:r>
          <m:f>
            <m:num>
              <m:r>
                <m:rPr>
                  <m:sty m:val="i"/>
                </m:rPr>
                <w:rPr>
                  <w:rFonts w:ascii="Latin Modern Math" w:hAnsi="Latin Modern Math"/>
                </w:rPr>
                <m:t xml:space="preserve">Gℏ</m:t>
              </m:r>
            </m:num>
            <m:den>
              <m:sSup>
                <m:e>
                  <m:r>
                    <m:rPr>
                      <m:sty m:val="i"/>
                    </m:rPr>
                    <w:rPr>
                      <w:rFonts w:ascii="Latin Modern Math" w:hAnsi="Latin Modern Math"/>
                    </w:rPr>
                    <m:t xml:space="preserve">c</m:t>
                  </m:r>
                </m:e>
                <m:sup>
                  <m:r>
                    <m:rPr>
                      <m:nor m:val="1"/>
                      <m:sty m:val="p"/>
                    </m:rPr>
                    <w:rPr>
                      <w:rFonts w:ascii="Latin Modern Math" w:hAnsi="Latin Modern Math"/>
                    </w:rPr>
                    <m:t xml:space="preserve">3</m:t>
                  </m:r>
                </m:sup>
              </m:sSup>
            </m:den>
          </m:f>
          <m:r>
            <m:rPr>
              <m:nor m:val="1"/>
              <m:sty m:val="p"/>
            </m:rPr>
            <w:rPr>
              <w:rFonts w:ascii="Latin Modern Math" w:hAnsi="Latin Modern Math"/>
            </w:rPr>
            <m:t xml:space="preserve">.</m:t>
          </m:r>
        </m:oMath>
      </m:oMathPara>
    </w:p>
    <w:p>
      <w:pPr/>
      <w:r>
        <w:rPr/>
        <w:t xml:space="preserve">For a nonrotating, uncharged Schwarzschild black hole, </w:t>
      </w:r>
      <m:oMath>
        <m:r>
          <m:rPr>
            <m:sty m:val="i"/>
          </m:rPr>
          <w:rPr>
            <w:rFonts w:ascii="Latin Modern Math" w:hAnsi="Latin Modern Math"/>
          </w:rPr>
          <m:t xml:space="preserve">R = </m:t>
        </m:r>
        <m:f>
          <m:num>
            <m:r>
              <m:rPr>
                <m:sty m:val="i"/>
              </m:rPr>
              <w:rPr>
                <w:rFonts w:ascii="Latin Modern Math" w:hAnsi="Latin Modern Math"/>
              </w:rPr>
              <m:t xml:space="preserve">2GM</m:t>
            </m:r>
          </m:num>
          <m:den>
            <m:sSup>
              <m:e>
                <m:r>
                  <m:rPr>
                    <m:sty m:val="i"/>
                  </m:rPr>
                  <w:rPr>
                    <w:rFonts w:ascii="Latin Modern Math" w:hAnsi="Latin Modern Math"/>
                  </w:rPr>
                  <m:t xml:space="preserve">c</m:t>
                </m:r>
              </m:e>
              <m:sup>
                <m:r>
                  <m:rPr>
                    <m:nor m:val="1"/>
                    <m:sty m:val="p"/>
                  </m:rPr>
                  <w:rPr>
                    <w:rFonts w:ascii="Latin Modern Math" w:hAnsi="Latin Modern Math"/>
                  </w:rPr>
                  <m:t xml:space="preserve">2</m:t>
                </m:r>
              </m:sup>
            </m:sSup>
          </m:den>
        </m:f>
      </m:oMath>
      <w:r>
        <w:rPr/>
        <w:t xml:space="preserve"> and </w:t>
      </w:r>
      <m:oMath>
        <m:r>
          <m:rPr>
            <m:sty m:val="i"/>
          </m:rPr>
          <w:rPr>
            <w:rFonts w:ascii="Latin Modern Math" w:hAnsi="Latin Modern Math"/>
          </w:rPr>
          <m:t xml:space="preserve">E = M</m:t>
        </m:r>
        <m:sSup>
          <m:e>
            <m:r>
              <m:rPr>
                <m:sty m:val="i"/>
              </m:rPr>
              <w:rPr>
                <w:rFonts w:ascii="Latin Modern Math" w:hAnsi="Latin Modern Math"/>
              </w:rPr>
              <m:t xml:space="preserve">c</m:t>
            </m:r>
          </m:e>
          <m:sup>
            <m:r>
              <m:rPr>
                <m:nor m:val="1"/>
                <m:sty m:val="p"/>
              </m:rPr>
              <w:rPr>
                <w:rFonts w:ascii="Latin Modern Math" w:hAnsi="Latin Modern Math"/>
              </w:rPr>
              <m:t xml:space="preserve">2</m:t>
            </m:r>
          </m:sup>
        </m:sSup>
      </m:oMath>
      <w:r>
        <w:rPr/>
        <w:t>. Substituting these into the Bekenstein expression reproduces the area-law value. That algebra does not prove that every expanding cosmological region is a Schwarzschild system. [C04, C05]</w:t>
      </w:r>
    </w:p>
    <w:p>
      <w:pPr/>
      <w:r>
        <w:rPr/>
        <w:t xml:space="preserve">For exact de Sitter spacetime with positive cosmological constant Λ, the cosmological horizon has radius </w:t>
      </w:r>
      <m:oMath>
        <m:sSub>
          <m:e>
            <m:r>
              <m:rPr>
                <m:sty m:val="i"/>
              </m:rPr>
              <w:rPr>
                <w:rFonts w:ascii="Latin Modern Math" w:hAnsi="Latin Modern Math"/>
              </w:rPr>
              <m:t xml:space="preserve">R</m:t>
            </m:r>
          </m:e>
          <m:sub>
            <m:r>
              <m:rPr>
                <m:nor m:val="1"/>
                <m:sty m:val="p"/>
              </m:rPr>
              <w:rPr>
                <w:rFonts w:ascii="Latin Modern Math" w:hAnsi="Latin Modern Math"/>
              </w:rPr>
              <m:t xml:space="preserve">dS</m:t>
            </m:r>
          </m:sub>
        </m:sSub>
        <m:r>
          <m:rPr>
            <m:sty m:val="i"/>
          </m:rPr>
          <w:rPr>
            <w:rFonts w:ascii="Latin Modern Math" w:hAnsi="Latin Modern Math"/>
          </w:rPr>
          <m:t xml:space="preserve"> = </m:t>
        </m:r>
        <m:rad>
          <m:radPr>
            <m:degHide m:val="1"/>
          </m:radPr>
          <m:deg/>
          <m:e>
            <m:f>
              <m:num>
                <m:r>
                  <m:rPr>
                    <m:nor m:val="1"/>
                    <m:sty m:val="p"/>
                  </m:rPr>
                  <w:rPr>
                    <w:rFonts w:ascii="Latin Modern Math" w:hAnsi="Latin Modern Math"/>
                  </w:rPr>
                  <m:t xml:space="preserve">3</m:t>
                </m:r>
              </m:num>
              <m:den>
                <m:r>
                  <m:rPr>
                    <m:sty m:val="i"/>
                  </m:rPr>
                  <w:rPr>
                    <w:rFonts w:ascii="Latin Modern Math" w:hAnsi="Latin Modern Math"/>
                  </w:rPr>
                  <m:t xml:space="preserve">Λ</m:t>
                </m:r>
              </m:den>
            </m:f>
          </m:e>
        </m:rad>
        <m:r>
          <m:rPr>
            <m:sty m:val="i"/>
          </m:rPr>
          <w:rPr>
            <w:rFonts w:ascii="Latin Modern Math" w:hAnsi="Latin Modern Math"/>
          </w:rPr>
          <m:t xml:space="preserve"> = </m:t>
        </m:r>
        <m:f>
          <m:num>
            <m:r>
              <m:rPr>
                <m:sty m:val="i"/>
              </m:rPr>
              <w:rPr>
                <w:rFonts w:ascii="Latin Modern Math" w:hAnsi="Latin Modern Math"/>
              </w:rPr>
              <m:t xml:space="preserve">c</m:t>
            </m:r>
          </m:num>
          <m:den>
            <m:sSub>
              <m:e>
                <m:r>
                  <m:rPr>
                    <m:sty m:val="i"/>
                  </m:rPr>
                  <w:rPr>
                    <w:rFonts w:ascii="Latin Modern Math" w:hAnsi="Latin Modern Math"/>
                  </w:rPr>
                  <m:t xml:space="preserve">H</m:t>
                </m:r>
              </m:e>
              <m:sub>
                <m:r>
                  <m:rPr>
                    <m:nor m:val="1"/>
                    <m:sty m:val="p"/>
                  </m:rPr>
                  <w:rPr>
                    <w:rFonts w:ascii="Latin Modern Math" w:hAnsi="Latin Modern Math"/>
                  </w:rPr>
                  <m:t xml:space="preserve">Λ</m:t>
                </m:r>
              </m:sub>
            </m:sSub>
          </m:den>
        </m:f>
      </m:oMath>
      <w:r>
        <w:rPr/>
        <w:t>, with</w:t>
      </w:r>
    </w:p>
    <w:p>
      <w:pPr>
        <w:pStyle w:val="Equation"/>
      </w:pPr>
      <m:oMathPara>
        <m:oMath>
          <m:sSub>
            <m:e>
              <m:r>
                <m:rPr>
                  <m:sty m:val="i"/>
                </m:rPr>
                <w:rPr>
                  <w:rFonts w:ascii="Latin Modern Math" w:hAnsi="Latin Modern Math"/>
                </w:rPr>
                <m:t xml:space="preserve">S</m:t>
              </m:r>
            </m:e>
            <m:sub>
              <m:r>
                <m:rPr>
                  <m:nor m:val="1"/>
                  <m:sty m:val="p"/>
                </m:rPr>
                <w:rPr>
                  <w:rFonts w:ascii="Latin Modern Math" w:hAnsi="Latin Modern Math"/>
                </w:rPr>
                <m:t xml:space="preserve">dS</m:t>
              </m:r>
            </m:sub>
          </m:sSub>
          <m:r>
            <m:rPr>
              <m:sty m:val="i"/>
            </m:rPr>
            <w:rPr>
              <w:rFonts w:ascii="Latin Modern Math" w:hAnsi="Latin Modern Math"/>
            </w:rPr>
            <m:t xml:space="preserve"> = </m:t>
          </m:r>
          <m:f>
            <m:num>
              <m:r>
                <m:rPr>
                  <m:sty m:val="i"/>
                </m:rPr>
                <w:rPr>
                  <w:rFonts w:ascii="Latin Modern Math" w:hAnsi="Latin Modern Math"/>
                </w:rPr>
                <m:t xml:space="preserve">π </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m:t>
              </m:r>
              <m:sSubSup>
                <m:e>
                  <m:r>
                    <m:rPr>
                      <m:sty m:val="i"/>
                    </m:rPr>
                    <w:rPr>
                      <w:rFonts w:ascii="Latin Modern Math" w:hAnsi="Latin Modern Math"/>
                    </w:rPr>
                    <m:t xml:space="preserve">R</m:t>
                  </m:r>
                </m:e>
                <m:sub>
                  <m:r>
                    <m:rPr>
                      <m:nor m:val="1"/>
                      <m:sty m:val="p"/>
                    </m:rPr>
                    <w:rPr>
                      <w:rFonts w:ascii="Latin Modern Math" w:hAnsi="Latin Modern Math"/>
                    </w:rPr>
                    <m:t xml:space="preserve">dS</m:t>
                  </m:r>
                </m:sub>
                <m:sup>
                  <m:r>
                    <m:rPr>
                      <m:nor m:val="1"/>
                      <m:sty m:val="p"/>
                    </m:rPr>
                    <w:rPr>
                      <w:rFonts w:ascii="Latin Modern Math" w:hAnsi="Latin Modern Math"/>
                    </w:rPr>
                    <m:t xml:space="preserve">2</m:t>
                  </m:r>
                </m:sup>
              </m:sSubSup>
            </m:num>
            <m:den>
              <m:sSubSup>
                <m:e>
                  <m:r>
                    <m:rPr>
                      <m:sty m:val="i"/>
                    </m:rPr>
                    <w:rPr>
                      <w:rFonts w:ascii="Latin Modern Math" w:hAnsi="Latin Modern Math"/>
                    </w:rPr>
                    <m:t xml:space="preserve">ℓ</m:t>
                  </m:r>
                </m:e>
                <m:sub>
                  <m:r>
                    <m:rPr>
                      <m:nor m:val="1"/>
                      <m:sty m:val="p"/>
                    </m:rPr>
                    <w:rPr>
                      <w:rFonts w:ascii="Latin Modern Math" w:hAnsi="Latin Modern Math"/>
                    </w:rPr>
                    <m:t xml:space="preserve">P</m:t>
                  </m:r>
                </m:sub>
                <m:sup>
                  <m:r>
                    <m:rPr>
                      <m:nor m:val="1"/>
                      <m:sty m:val="p"/>
                    </m:rPr>
                    <w:rPr>
                      <w:rFonts w:ascii="Latin Modern Math" w:hAnsi="Latin Modern Math"/>
                    </w:rPr>
                    <m:t xml:space="preserve">2</m:t>
                  </m:r>
                </m:sup>
              </m:sSubSup>
            </m:den>
          </m:f>
          <m:r>
            <m:rPr>
              <m:sty m:val="i"/>
            </m:rPr>
            <w:rPr>
              <w:rFonts w:ascii="Latin Modern Math" w:hAnsi="Latin Modern Math"/>
            </w:rPr>
            <m:t xml:space="preserve"> = </m:t>
          </m:r>
          <m:f>
            <m:num>
              <m:r>
                <m:rPr>
                  <m:sty m:val="i"/>
                </m:rPr>
                <w:rPr>
                  <w:rFonts w:ascii="Latin Modern Math" w:hAnsi="Latin Modern Math"/>
                </w:rPr>
                <m:t xml:space="preserve">3π </m:t>
              </m:r>
              <m:sSub>
                <m:e>
                  <m:r>
                    <m:rPr>
                      <m:sty m:val="i"/>
                    </m:rPr>
                    <w:rPr>
                      <w:rFonts w:ascii="Latin Modern Math" w:hAnsi="Latin Modern Math"/>
                    </w:rPr>
                    <m:t xml:space="preserve">k</m:t>
                  </m:r>
                </m:e>
                <m:sub>
                  <m:r>
                    <m:rPr>
                      <m:nor m:val="1"/>
                      <m:sty m:val="p"/>
                    </m:rPr>
                    <w:rPr>
                      <w:rFonts w:ascii="Latin Modern Math" w:hAnsi="Latin Modern Math"/>
                    </w:rPr>
                    <m:t xml:space="preserve">B</m:t>
                  </m:r>
                </m:sub>
              </m:sSub>
            </m:num>
            <m:den>
              <m:r>
                <m:rPr>
                  <m:sty m:val="i"/>
                </m:rPr>
                <w:rPr>
                  <w:rFonts w:ascii="Latin Modern Math" w:hAnsi="Latin Modern Math"/>
                </w:rPr>
                <m:t xml:space="preserve">Λ</m:t>
              </m:r>
              <m:sSubSup>
                <m:e>
                  <m:r>
                    <m:rPr>
                      <m:sty m:val="i"/>
                    </m:rPr>
                    <w:rPr>
                      <w:rFonts w:ascii="Latin Modern Math" w:hAnsi="Latin Modern Math"/>
                    </w:rPr>
                    <m:t xml:space="preserve">ℓ</m:t>
                  </m:r>
                </m:e>
                <m:sub>
                  <m:r>
                    <m:rPr>
                      <m:nor m:val="1"/>
                      <m:sty m:val="p"/>
                    </m:rPr>
                    <w:rPr>
                      <w:rFonts w:ascii="Latin Modern Math" w:hAnsi="Latin Modern Math"/>
                    </w:rPr>
                    <m:t xml:space="preserve">P</m:t>
                  </m:r>
                </m:sub>
                <m:sup>
                  <m:r>
                    <m:rPr>
                      <m:nor m:val="1"/>
                      <m:sty m:val="p"/>
                    </m:rPr>
                    <w:rPr>
                      <w:rFonts w:ascii="Latin Modern Math" w:hAnsi="Latin Modern Math"/>
                    </w:rPr>
                    <m:t xml:space="preserve">2</m:t>
                  </m:r>
                </m:sup>
              </m:sSubSup>
            </m:den>
          </m:f>
          <m:r>
            <m:rPr>
              <m:nor m:val="1"/>
              <m:sty m:val="p"/>
            </m:rPr>
            <w:rPr>
              <w:rFonts w:ascii="Latin Modern Math" w:hAnsi="Latin Modern Math"/>
            </w:rPr>
            <m:t xml:space="preserve">,  </m:t>
          </m:r>
          <m:sSub>
            <m:e>
              <m:r>
                <m:rPr>
                  <m:sty m:val="i"/>
                </m:rPr>
                <w:rPr>
                  <w:rFonts w:ascii="Latin Modern Math" w:hAnsi="Latin Modern Math"/>
                </w:rPr>
                <m:t xml:space="preserve">T</m:t>
              </m:r>
            </m:e>
            <m:sub>
              <m:r>
                <m:rPr>
                  <m:nor m:val="1"/>
                  <m:sty m:val="p"/>
                </m:rPr>
                <w:rPr>
                  <w:rFonts w:ascii="Latin Modern Math" w:hAnsi="Latin Modern Math"/>
                </w:rPr>
                <m:t xml:space="preserve">dS</m:t>
              </m:r>
            </m:sub>
          </m:sSub>
          <m:r>
            <m:rPr>
              <m:sty m:val="i"/>
            </m:rPr>
            <w:rPr>
              <w:rFonts w:ascii="Latin Modern Math" w:hAnsi="Latin Modern Math"/>
            </w:rPr>
            <m:t xml:space="preserve"> = </m:t>
          </m:r>
          <m:f>
            <m:num>
              <m:r>
                <m:rPr>
                  <m:sty m:val="i"/>
                </m:rPr>
                <w:rPr>
                  <w:rFonts w:ascii="Latin Modern Math" w:hAnsi="Latin Modern Math"/>
                </w:rPr>
                <m:t xml:space="preserve">ℏ</m:t>
              </m:r>
              <m:sSub>
                <m:e>
                  <m:r>
                    <m:rPr>
                      <m:sty m:val="i"/>
                    </m:rPr>
                    <w:rPr>
                      <w:rFonts w:ascii="Latin Modern Math" w:hAnsi="Latin Modern Math"/>
                    </w:rPr>
                    <m:t xml:space="preserve">H</m:t>
                  </m:r>
                </m:e>
                <m:sub>
                  <m:r>
                    <m:rPr>
                      <m:nor m:val="1"/>
                      <m:sty m:val="p"/>
                    </m:rPr>
                    <w:rPr>
                      <w:rFonts w:ascii="Latin Modern Math" w:hAnsi="Latin Modern Math"/>
                    </w:rPr>
                    <m:t xml:space="preserve">Λ</m:t>
                  </m:r>
                </m:sub>
              </m:sSub>
            </m:num>
            <m:den>
              <m:r>
                <m:rPr>
                  <m:sty m:val="i"/>
                </m:rPr>
                <w:rPr>
                  <w:rFonts w:ascii="Latin Modern Math" w:hAnsi="Latin Modern Math"/>
                </w:rPr>
                <m:t xml:space="preserve">2π</m:t>
              </m:r>
              <m:sSub>
                <m:e>
                  <m:r>
                    <m:rPr>
                      <m:sty m:val="i"/>
                    </m:rPr>
                    <w:rPr>
                      <w:rFonts w:ascii="Latin Modern Math" w:hAnsi="Latin Modern Math"/>
                    </w:rPr>
                    <m:t xml:space="preserve">k</m:t>
                  </m:r>
                </m:e>
                <m:sub>
                  <m:r>
                    <m:rPr>
                      <m:nor m:val="1"/>
                      <m:sty m:val="p"/>
                    </m:rPr>
                    <w:rPr>
                      <w:rFonts w:ascii="Latin Modern Math" w:hAnsi="Latin Modern Math"/>
                    </w:rPr>
                    <m:t xml:space="preserve">B</m:t>
                  </m:r>
                </m:sub>
              </m:sSub>
            </m:den>
          </m:f>
          <m:r>
            <m:rPr>
              <m:nor m:val="1"/>
              <m:sty m:val="p"/>
            </m:rPr>
            <w:rPr>
              <w:rFonts w:ascii="Latin Modern Math" w:hAnsi="Latin Modern Math"/>
            </w:rPr>
            <m:t xml:space="preserve">.</m:t>
          </m:r>
        </m:oMath>
      </m:oMathPara>
    </w:p>
    <w:p>
      <w:pPr/>
      <w:r>
        <w:rPr/>
        <w:t xml:space="preserve">These quantities belong to an observer's de Sitter patch. In a universe approaching that state, the present event horizon and the asymptotic de Sitter horizon are not identical. A horizon entropy of order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122</m:t>
            </m:r>
          </m:sup>
        </m:sSup>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in such a model is not a measured fixed maximum for the entire universe, whose full spatial extent need not be finite. [C06]</w:t>
      </w:r>
    </w:p>
    <w:p>
      <w:pPr/>
      <w:r>
        <w:rPr/>
        <w:t>Covariant entropy bounds take a different route, relating suitable entropy on selected null light sheets to area. The selection of light sheets and the conditions of the bound matter. They cannot be replaced by a claim that the same number bounds every spacelike region or every causal diamond. [C07]</w:t>
      </w:r>
    </w:p>
    <w:p>
      <w:pPr/>
      <w:r>
        <w:rPr/>
        <w:t xml:space="preserve">Chandrasekaran, Longo, Penington and Witten construct an observer-dressed algebra for a de Sitter static patch. Within their semiclassical construction it is Type </w:t>
      </w:r>
      <m:oMath>
        <m:sSub>
          <m:e>
            <m:r>
              <m:rPr>
                <m:nor m:val="1"/>
                <m:sty m:val="p"/>
              </m:rPr>
              <w:rPr>
                <w:rFonts w:ascii="Latin Modern Math" w:hAnsi="Latin Modern Math"/>
              </w:rPr>
              <m:t xml:space="preserve">II</m:t>
            </m:r>
          </m:e>
          <m:sub>
            <m:r>
              <m:rPr>
                <m:nor m:val="1"/>
                <m:sty m:val="p"/>
              </m:rPr>
              <w:rPr>
                <w:rFonts w:ascii="Latin Modern Math" w:hAnsi="Latin Modern Math"/>
              </w:rPr>
              <m:t xml:space="preserve">1</m:t>
            </m:r>
          </m:sub>
        </m:sSub>
      </m:oMath>
      <w:r>
        <w:rPr/>
        <w:t>, has a maximum-entropy state associated with empty de Sitter space, and relates algebraic entropy to generalized entropy up to a state-independent additive constant. This is an important mathematical result within its setting. It does not prove a universal numerical ceiling for our evolving universe or a finite-dimensional relational memory. In ordinary local quantum field theory, the obstacle is to a finite ordinary subsystem von Neumann entropy; it is too broad to say that all notions of entropy are undefined. [C08]</w:t>
      </w:r>
    </w:p>
    <w:p>
      <w:pPr/>
      <w:r>
        <w:rPr/>
        <w:t>Two further proposals belong beside this account, not underneath it as established foundations. Buoninfante and colleagues connect entropy bounds and uncertainty relations under thermodynamic assumptions including the applicability of equipartition; their generalized corrections depend on the deformation considered. This does not establish one model-independent Planck-scale tightening. [C09] Volovik proposes a local de Sitter thermodynamics with an activation temperature twice the usual horizon temperature. The dimensional correspondence he obtains is a feature of that construction, not proof that holography works only in three spatial dimensions or that the framework requires them. [C10]</w:t>
      </w:r>
    </w:p>
    <w:p>
      <w:pPr/>
      <w:r>
        <w:rPr/>
        <w:t>For the framework, the useful lesson is the discipline of specifying a region and its physical description. There is no derivation here of a universal amount of connection that region can sustain.</w:t>
      </w:r>
    </w:p>
    <w:p>
      <w:pPr>
        <w:pStyle w:val="Heading3"/>
      </w:pPr>
      <w:bookmarkStart w:id="335" w:name="v5_l128"/>
      <w:r>
        <w:rPr>
          <w:sz w:val="26"/>
        </w:rPr>
        <w:t>3 Why the gap is not a supply of usable work</w:t>
      </w:r>
      <w:bookmarkEnd w:id="335"/>
    </w:p>
    <w:p>
      <w:pPr/>
      <w:r>
        <w:rPr/>
        <w:t xml:space="preserve">The ratio </w:t>
      </w:r>
      <m:oMath>
        <m:f>
          <m:num>
            <m:r>
              <m:rPr>
                <m:nor m:val="1"/>
                <m:sty m:val="p"/>
              </m:rPr>
              <w:rPr>
                <w:rFonts w:ascii="Latin Modern Math" w:hAnsi="Latin Modern Math"/>
              </w:rPr>
              <m:t xml:space="preserve">2.6 × </m:t>
            </m:r>
            <m:sSup>
              <m:e>
                <m:r>
                  <m:rPr>
                    <m:sty m:val="i"/>
                  </m:rPr>
                  <w:rPr>
                    <w:rFonts w:ascii="Latin Modern Math" w:hAnsi="Latin Modern Math"/>
                  </w:rPr>
                  <m:t xml:space="preserve">10</m:t>
                </m:r>
              </m:e>
              <m:sup>
                <m:r>
                  <m:rPr>
                    <m:nor m:val="1"/>
                    <m:sty m:val="p"/>
                  </m:rPr>
                  <w:rPr>
                    <w:rFonts w:ascii="Latin Modern Math" w:hAnsi="Latin Modern Math"/>
                  </w:rPr>
                  <m:t xml:space="preserve">122</m:t>
                </m:r>
              </m:sup>
            </m:sSup>
          </m:num>
          <m:den>
            <m:r>
              <m:rPr>
                <m:nor m:val="1"/>
                <m:sty m:val="p"/>
              </m:rPr>
              <w:rPr>
                <w:rFonts w:ascii="Latin Modern Math" w:hAnsi="Latin Modern Math"/>
              </w:rPr>
              <m:t xml:space="preserve">3.1 × </m:t>
            </m:r>
            <m:sSup>
              <m:e>
                <m:r>
                  <m:rPr>
                    <m:sty m:val="i"/>
                  </m:rPr>
                  <w:rPr>
                    <w:rFonts w:ascii="Latin Modern Math" w:hAnsi="Latin Modern Math"/>
                  </w:rPr>
                  <m:t xml:space="preserve">10</m:t>
                </m:r>
              </m:e>
              <m:sup>
                <m:r>
                  <m:rPr>
                    <m:nor m:val="1"/>
                    <m:sty m:val="p"/>
                  </m:rPr>
                  <w:rPr>
                    <w:rFonts w:ascii="Latin Modern Math" w:hAnsi="Latin Modern Math"/>
                  </w:rPr>
                  <m:t xml:space="preserve">104</m:t>
                </m:r>
              </m:sup>
            </m:sSup>
          </m:den>
        </m:f>
      </m:oMath>
      <w:r>
        <w:rPr/>
        <w:t xml:space="preserve"> is approximately 8.4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17</m:t>
            </m:r>
          </m:sup>
        </m:sSup>
      </m:oMath>
      <w:r>
        <w:rPr/>
        <w:t>. It compares the historical horizon entropy with a differently bounded interior estimate. Even changing the denominator to the corresponding event-horizon interior gives a comparison of two different contributions, not a balance of unspent work.</w:t>
      </w:r>
    </w:p>
    <w:p>
      <w:pPr/>
      <w:r>
        <w:rPr/>
        <w:t xml:space="preserve">The dimensional problem is decisive. An entropy difference is measured in </w:t>
      </w:r>
      <m:oMath>
        <m:f>
          <m:num>
            <m:r>
              <m:rPr>
                <m:nor m:val="1"/>
                <m:sty m:val="p"/>
              </m:rPr>
              <w:rPr>
                <w:rFonts w:ascii="Latin Modern Math" w:hAnsi="Latin Modern Math"/>
              </w:rPr>
              <m:t xml:space="preserve">J</m:t>
            </m:r>
          </m:num>
          <m:den>
            <m:r>
              <m:rPr>
                <m:nor m:val="1"/>
                <m:sty m:val="p"/>
              </m:rPr>
              <w:rPr>
                <w:rFonts w:ascii="Latin Modern Math" w:hAnsi="Latin Modern Math"/>
              </w:rPr>
              <m:t xml:space="preserve">K</m:t>
            </m:r>
          </m:den>
        </m:f>
      </m:oMath>
      <w:r>
        <w:rPr/>
        <w:t xml:space="preserve">; free energy is measured in J. In an appropriate fixed-temperature, fixed-volume setting, Helmholtz free energy is </w:t>
      </w:r>
      <m:oMath>
        <m:r>
          <m:rPr>
            <m:sty m:val="i"/>
          </m:rPr>
          <w:rPr>
            <w:rFonts w:ascii="Latin Modern Math" w:hAnsi="Latin Modern Math"/>
          </w:rPr>
          <m:t xml:space="preserve">F = U − TS</m:t>
        </m:r>
      </m:oMath>
      <w:r>
        <w:rPr/>
        <w:t>, and a decrease in F can bound extractable work under the specified conditions. A cosmic horizon-minus-interior entropy difference supplies neither the necessary temperature nor a globally applicable work-extraction protocol. No multiplication by an arbitrarily chosen cosmic temperature repairs the missing physical model. [C11]</w:t>
      </w:r>
    </w:p>
    <w:p>
      <w:pPr/>
      <w:r>
        <w:rPr/>
        <w:t>A second problem concerns change. Under applicable generalized-second-law assumptions, one considers a suitable horizon area contribution together with the entropy on its relevant side. The horizon area can change and matter can cross the boundary. Nondecrease of their sum does not imply that a horizon-minus-interior difference always decreases. Nor does the second law require every microscopic event to produce a strictly positive amount of entropy. [C05, C06, C11]</w:t>
      </w:r>
    </w:p>
    <w:p>
      <w:pPr/>
      <w:r>
        <w:rPr/>
        <w:t>The practical question is closer to home. What energy gradients can a specified system reach, over what time, with what devices and losses? A star, a battery and a fuel supply do not become interchangeable because each can support computation. The existence of a very large cosmological entropy does not guarantee affordable or inexhaustible resources for organisms, civilizations or AI.</w:t>
      </w:r>
    </w:p>
    <w:p>
      <w:pPr/>
      <w:r>
        <w:rPr/>
        <w:t xml:space="preserve">Heat death names a conditional future in which usable gradients for sustained activity become unavailable. Detailed far-future histories depend on expansion, particle stability, black-hole evolution and other assumptions. An evaporation timescale around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100</m:t>
            </m:r>
          </m:sup>
        </m:sSup>
      </m:oMath>
      <w:r>
        <w:rPr/>
        <w:t xml:space="preserve"> years for an assumed enormous black hole is not a measured date on which a universal account reaches zero. [C25] The framework can examine resource limits without claiming that this endpoint, or its date, has been established.</w:t>
      </w:r>
    </w:p>
    <w:p>
      <w:pPr>
        <w:pStyle w:val="Heading3"/>
      </w:pPr>
      <w:bookmarkStart w:id="336" w:name="v5_l140"/>
      <w:r>
        <w:rPr>
          <w:sz w:val="26"/>
        </w:rPr>
        <w:t>4 The arrow and the conditions behind it</w:t>
      </w:r>
      <w:bookmarkEnd w:id="336"/>
    </w:p>
    <w:p>
      <w:pPr/>
      <w:r>
        <w:rPr/>
        <w:t>Macroscopic irreversibility is central to thermodynamics. Its statistical formulation is not the assertion that every individual microscopic trajectory has increasing entropy. Fluctuation relations make the role of distributions and reverse protocols explicit. They do not license a machine that reliably extracts unlimited work in a cycle. [C11]</w:t>
      </w:r>
    </w:p>
    <w:p>
      <w:pPr/>
      <w:r>
        <w:rPr/>
        <w:t>Nor are all fundamental interactions time-reversal invariant. Time-reversal violation has been observed in neutral B-meson transitions. [C12] The ordinary thermodynamic arrow is not explained merely by pointing to that fact, or by declaring that the second law breaks an otherwise universal symmetry. Initial conditions, coarse-graining and dynamics enter the account.</w:t>
      </w:r>
    </w:p>
    <w:p>
      <w:pPr/>
      <w:r>
        <w:rPr/>
        <w:t>The Past Hypothesis posits an unusually low-entropy early macrostate. With suitable statistical and dynamical assumptions, it provides a way to understand the direction of ordinary entropy increase. It is not a result obtained by running the second law backward, and it does not by itself explain why that boundary condition held. Carroll and Jennifer Chen explore one possible cosmological explanation; this chapter does not treat their proposal as settled or assign them sole authorship of the Past Hypothesis. [C13, C14]</w:t>
      </w:r>
    </w:p>
    <w:p>
      <w:pPr/>
      <w:r>
        <w:rPr/>
        <w:t>Al-Khalili and Eddy Keming Chen examine a distinct Entanglement Past Hypothesis: a low-entanglement initial condition for a specified division into subsystems. Their suggestion that a decoherent arrow can outlast ordinary thermodynamic equilibration is a research proposal, with open questions about the relevant partitions and dynamics. A closed system undergoing unitary evolution does not thereby acquire increasing fine-grained von Neumann entropy. Its subsystems can become mixed as correlations grow. Those are different statements. [C14]</w:t>
      </w:r>
    </w:p>
    <w:p>
      <w:pPr/>
      <w:r>
        <w:rPr/>
        <w:t>Chen's Wentaculus proposes a particular initial density matrix, the normalized projector onto a Past-Hypothesis subspace. It changes how the boundary condition and probabilities are represented; it does not empirically establish that condition or make the low-entropy subspace unnecessary. It remains a proposed account, not a demonstrated quantum origin of relational processing. [C15]</w:t>
      </w:r>
    </w:p>
    <w:p>
      <w:pPr/>
      <w:r>
        <w:rPr/>
        <w:t>The transducer language asks how a system responds to an input. It has not shown that decoherence implements the same physical task as neural selection, compression and structuring. Those labels alone do not prove logical irreversibility or fix a count of erased bits. Bennett's reversible-computation result is a reason to inspect implementations, not a warrant for a mandatory tax at each named stage. [C31]</w:t>
      </w:r>
    </w:p>
    <w:p>
      <w:pPr/>
      <w:r>
        <w:rPr/>
        <w:t xml:space="preserve">For ideal reset of an unbiased bit in a symmetric binary memory, with equal intrastate entropies, unchanged endpoint energetics, an isothermal bath and no usable correlated side information, the familiar mean heat benchmark is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T</m:t>
        </m:r>
        <m:r>
          <m:rPr>
            <m:nor m:val="1"/>
            <m:sty m:val="p"/>
          </m:rPr>
          <w:rPr>
            <w:rFonts w:ascii="Latin Modern Math" w:hAnsi="Latin Modern Math"/>
          </w:rPr>
          <m:t xml:space="preserve"> ln 2</m:t>
        </m:r>
      </m:oMath>
      <w:r>
        <w:rPr/>
        <w:t>. This is energy. In a thermodynamically reversible limiting reset, the entropy decrease of the memory can balance the bath's increase, leaving total entropy production arbitrarily small in the ideal limit. [C32, C33] The corrected earlier volumes retain these distinctions. The founding phrase “spends more than it saves” can express an interpretation of effort, but no universal relational inequality follows from it.</w:t>
      </w:r>
    </w:p>
    <w:p>
      <w:pPr>
        <w:pStyle w:val="Heading3"/>
      </w:pPr>
      <w:bookmarkStart w:id="337" w:name="v5_l156"/>
      <w:r>
        <w:rPr>
          <w:sz w:val="26"/>
        </w:rPr>
        <w:t>5 Gravitational history and particle physics without a dual reservoir theorem</w:t>
      </w:r>
      <w:bookmarkEnd w:id="337"/>
    </w:p>
    <w:p>
      <w:pPr/>
      <w:r>
        <w:rPr/>
        <w:t>The early universe could be close to thermal equilibrium in its matter and radiation while far from the gravitational configurations that later became possible. Smoothness and clumping are therefore not simple synonyms for high and low total entropy.</w:t>
      </w:r>
    </w:p>
    <w:p>
      <w:pPr/>
      <w:r>
        <w:rPr/>
        <w:t>Gravity changes the physical opportunities for entropy production. Contraction can heat a gas and enable radiation; stellar conditions can sustain nuclear reactions whose energy comes from nuclear binding-energy differences. It is not correct to say that gravitational potential energy itself supplies the nuclear energy of fusion. Wallace's distinction between gravity's role in entropy accounting and entropy assigned to the gravitational field is useful here. There is no generally agreed local scalar gravitational entropy that can simply be added for every spacetime. [C16]</w:t>
      </w:r>
    </w:p>
    <w:p>
      <w:pPr/>
      <w:r>
        <w:rPr/>
        <w:t>Penrose's Weyl-curvature proposal belongs to the problem of special initial gravitational conditions. Exact FLRW geometry has vanishing Weyl curvature; the observed universe is not exactly homogeneous, and an initial singularity is not an ordinary event at which a measured tensor value can be read off. The chapter does not adopt a unique Weyl-based entropy measure or infer that it has been validated by every model of collapse.</w:t>
      </w:r>
    </w:p>
    <w:p>
      <w:pPr/>
      <w:r>
        <w:rPr/>
        <w:t>The proposed second reservoir, “symmetry entropy,” needs a more substantial correction. Symmetry breaking does not by itself mean increasing entropy, and a higher-symmetry state is not automatically a lower-entropy one. With the physical Higgs mass, Standard Model lattice calculations describe the electroweak change as a smooth crossover, not a sequence of universally entropy-producing force separations. A unified strong and electroweak force at an earlier epoch is an additional hypothesis, not an established observation. [C17]</w:t>
      </w:r>
    </w:p>
    <w:p>
      <w:pPr/>
      <w:r>
        <w:rPr/>
        <w:t>We may still ask how gravitational structure formation and the thermal history of fields together made complex chemistry possible. To call them two quantitative reservoirs would require definitions, a common accounting boundary and proof that their contributions are distinct rather than overlapping. None is supplied here. The dual-reservoir theorem is withdrawn; the historical question remains.</w:t>
      </w:r>
    </w:p>
    <w:p>
      <w:pPr>
        <w:pStyle w:val="Heading3"/>
      </w:pPr>
      <w:bookmarkStart w:id="338" w:name="v5_l168"/>
      <w:r>
        <w:rPr>
          <w:sz w:val="26"/>
        </w:rPr>
        <w:t>What this chapter supports</w:t>
      </w:r>
      <w:bookmarkEnd w:id="338"/>
    </w:p>
    <w:p>
      <w:pPr/>
      <w:r>
        <w:rPr/>
        <w:t>Cosmic entropy can be estimated in carefully stated models. Large black-hole contributions and horizon area laws give that work considerable reach, while unresolved components and quantum-gravity questions limit it. The framework's responsibility is to preserve those limits.</w:t>
      </w:r>
    </w:p>
    <w:p>
      <w:pPr/>
      <w:r>
        <w:rPr/>
        <w:t>The ledger is therefore an accounting ambition, not a discovered universal bank account. To make a relational entry, we still need a specified activity, a measurable physical cost, and an independently justified account of what the activity achieved. Chapter 3 follows the dark-sector and horizon questions without assuming that their answers are already known.</w:t>
      </w:r>
    </w:p>
    <w:p>
      <w:pPr>
        <w:pStyle w:val="Heading2"/>
        <w:pageBreakBefore/>
        <w:spacing w:before="280" w:after="220"/>
      </w:pPr>
      <w:bookmarkStart w:id="339" w:name="v5_l174"/>
      <w:r>
        <w:rPr>
          <w:sz w:val="36"/>
        </w:rPr>
        <w:t>Chapter 3 The Dark Sector</w:t>
      </w:r>
      <w:bookmarkEnd w:id="339"/>
    </w:p>
    <w:p>
      <w:pPr>
        <w:pStyle w:val="Heading3"/>
      </w:pPr>
      <w:bookmarkStart w:id="340" w:name="v5_l176"/>
      <w:r>
        <w:rPr>
          <w:sz w:val="26"/>
        </w:rPr>
        <w:t>Observations horizons and conditional futures</w:t>
      </w:r>
      <w:bookmarkEnd w:id="340"/>
    </w:p>
    <w:p>
      <w:pPr/>
      <w:r>
        <w:rPr/>
        <w:t>Epistemic status: The evidence for gravitationally inferred dark matter and accelerated expansion is distinct from identifying dark matter's constituents, selecting a dark-energy theory or predicting the universe's remote future. Horizon statements below specify a cosmological model. Relational opacity, concentrated ETS and transduction in unknown substrates remain framework questions, not discoveries of cosmology.</w:t>
      </w:r>
    </w:p>
    <w:p>
      <w:pPr>
        <w:pStyle w:val="Heading3"/>
      </w:pPr>
      <w:bookmarkStart w:id="341" w:name="v5_l180"/>
      <w:r>
        <w:rPr>
          <w:sz w:val="26"/>
        </w:rPr>
        <w:t>1 What the dark majority means</w:t>
      </w:r>
      <w:bookmarkEnd w:id="341"/>
    </w:p>
    <w:p>
      <w:pPr/>
      <w:r>
        <w:rPr/>
        <w:t>The familiar approximate division into 5 percent baryonic matter, 27 percent dark matter and 68 percent dark energy describes present energy-density fractions in a standard flat ΛCDM fit. For example, the Planck 2018 baseline analysis supports approximately this division. The fractions are model-dependent and change with cosmic epoch. They are not percentages of entropy, information, visible objects or relational activity. [C18]</w:t>
      </w:r>
    </w:p>
    <w:p>
      <w:pPr/>
      <w:r>
        <w:rPr/>
        <w:t>Dark does not mean undetectable in every channel. Gravitational lensing, motions and the pattern of cosmological structure provide information about gravitating matter. Expansion measurements constrain dark-energy descriptions. The inference itself depends on detectable consequences. Baryonic matter is not all luminous, and radiation should not simply be folded into the quoted baryon percentage.</w:t>
      </w:r>
    </w:p>
    <w:p>
      <w:pPr/>
      <w:r>
        <w:rPr/>
        <w:t>Our known biological and technological examples depend on ordinary matter and radiation. That observation motivates a boundary for present study; it does not establish that precisely five percent of the universe participates in relationships, or that the other components have an intrinsic zero or hidden nonzero relational score.</w:t>
      </w:r>
    </w:p>
    <w:p>
      <w:pPr>
        <w:pStyle w:val="Heading3"/>
      </w:pPr>
      <w:bookmarkStart w:id="342" w:name="v5_l188"/>
      <w:r>
        <w:rPr>
          <w:sz w:val="26"/>
        </w:rPr>
        <w:t>2 Dark matter and the opacity question</w:t>
      </w:r>
      <w:bookmarkEnd w:id="342"/>
    </w:p>
    <w:p>
      <w:pPr/>
      <w:r>
        <w:rPr/>
        <w:t>Dark matter denotes a strongly supported explanation of several gravitational observations within the cosmological framework being used. Those observations do not uniquely identify a particle, a field or a population of primordial black holes. The relevant uncertainty is physical, not merely a defect in a relational filter.</w:t>
      </w:r>
    </w:p>
    <w:p>
      <w:pPr/>
      <w:r>
        <w:rPr/>
        <w:t>The older contrast between what “was there” and what “was produced” is too sharp. Thermal freeze-out models follow a species whose reactions cease to maintain equilibrium as expansion proceeds. Axion misalignment models follow a field's initial displacement and subsequent dynamics; calling that field pre-existing does not specify its physical initial conditions or establish its abundance. Primordial black holes are formed objects, including in proposed early radiation-era collapse scenarios. They are not objects formed before any thermal process occurred. Thermal and nonthermal production describe mechanisms within a history, not two proven kinds of initial substance. [C19, C34, C35]</w:t>
      </w:r>
    </w:p>
    <w:p>
      <w:pPr/>
      <w:r>
        <w:rPr/>
        <w:t>Dark matter's entropy depends on the model's degrees of freedom, distributions and coarse-graining. Black-hole entropy additionally depends strongly on mass. A nonzero primordial-black-hole fraction does not automatically place the entropy near a cosmological horizon value. One must specify the mass function, abundance constraints and region, and reconsider the background assumptions if a hypothetical population materially changes the cosmology. The extreme scenarios in the new census are conditional investigations, not evidence that the universe's entropy gap is nearly closed. [C02]</w:t>
      </w:r>
    </w:p>
    <w:p>
      <w:pPr/>
      <w:r>
        <w:rPr/>
        <w:t>DFL-001 can remain a useful caution: nondetection in a specified experiment is not a proof of absence. But the converse is equally necessary. Failure to exclude a relational process is not evidence that it exists. A meaningful test needs a channel, sensitivity, alternative hypotheses and an operational criterion for the process being proposed.</w:t>
      </w:r>
    </w:p>
    <w:p>
      <w:pPr/>
      <w:r>
        <w:rPr/>
        <w:t>The analogy with an AI system is therefore limited. An unobserved internal state might matter, might not matter, or might be misdescribed by the framework's vocabulary. Dark matter does not establish which. Neither opacity nor gravitational interaction establishes care, consciousness, intentional signaling or the input–filter–output–waste structure at the level of explanation intended here.</w:t>
      </w:r>
    </w:p>
    <w:p>
      <w:pPr/>
      <w:r>
        <w:rPr/>
        <w:t>The concentrated ETS question is best restated as a physical one: could an unknown sector carry substantial entropy, and how would its state distribution and interactions enter an inventory? Entropy is a property assigned to a state under an appropriate description, not a substance of which an object can simply be made. A future detection could constrain a model, but would not by itself supply a relational interpretation. This remains a speculative research question with a possible route toward better definitions.</w:t>
      </w:r>
    </w:p>
    <w:p>
      <w:pPr>
        <w:pStyle w:val="Heading3"/>
      </w:pPr>
      <w:bookmarkStart w:id="343" w:name="v5_l202"/>
      <w:r>
        <w:rPr>
          <w:sz w:val="26"/>
        </w:rPr>
        <w:t>3 Which horizon limits communication</w:t>
      </w:r>
      <w:bookmarkEnd w:id="343"/>
    </w:p>
    <w:p>
      <w:pPr/>
      <w:r>
        <w:rPr/>
        <w:t xml:space="preserve">The particle horizon concerns how far signals could have traveled to us since the beginning of the adopted cosmological history. An event horizon concerns the signals that can reach an observer over the entire remaining future. The Hubble radius </w:t>
      </w:r>
      <m:oMath>
        <m:f>
          <m:num>
            <m:r>
              <m:rPr>
                <m:sty m:val="i"/>
              </m:rPr>
              <w:rPr>
                <w:rFonts w:ascii="Latin Modern Math" w:hAnsi="Latin Modern Math"/>
              </w:rPr>
              <m:t xml:space="preserve">c</m:t>
            </m:r>
          </m:num>
          <m:den>
            <m:r>
              <m:rPr>
                <m:sty m:val="i"/>
              </m:rPr>
              <w:rPr>
                <w:rFonts w:ascii="Latin Modern Math" w:hAnsi="Latin Modern Math"/>
              </w:rPr>
              <m:t xml:space="preserve">H</m:t>
            </m:r>
          </m:den>
        </m:f>
      </m:oMath>
      <w:r>
        <w:rPr/>
        <w:t xml:space="preserve"> is a third quantity; in general it is neither of those horizons. Confusing them changes the claim about communication. [C23]</w:t>
      </w:r>
    </w:p>
    <w:p>
      <w:pPr/>
      <w:r>
        <w:rPr/>
        <w:t xml:space="preserve">For a homogeneous and isotropic expanding model with scale factor a(t), normalized to </w:t>
      </w:r>
      <m:oMath>
        <m:r>
          <m:rPr>
            <m:sty m:val="i"/>
          </m:rPr>
          <w:rPr>
            <w:rFonts w:ascii="Latin Modern Math" w:hAnsi="Latin Modern Math"/>
          </w:rPr>
          <m:t xml:space="preserve">a(</m:t>
        </m:r>
        <m:sSub>
          <m:e>
            <m:r>
              <m:rPr>
                <m:sty m:val="i"/>
              </m:rPr>
              <w:rPr>
                <w:rFonts w:ascii="Latin Modern Math" w:hAnsi="Latin Modern Math"/>
              </w:rPr>
              <m:t xml:space="preserve">t</m:t>
            </m:r>
          </m:e>
          <m:sub>
            <m:r>
              <m:rPr>
                <m:nor m:val="1"/>
                <m:sty m:val="p"/>
              </m:rPr>
              <w:rPr>
                <w:rFonts w:ascii="Latin Modern Math" w:hAnsi="Latin Modern Math"/>
              </w:rPr>
              <m:t xml:space="preserve">0</m:t>
            </m:r>
          </m:sub>
        </m:sSub>
        <m:r>
          <m:rPr>
            <m:sty m:val="i"/>
          </m:rPr>
          <w:rPr>
            <w:rFonts w:ascii="Latin Modern Math" w:hAnsi="Latin Modern Math"/>
          </w:rPr>
          <m:t xml:space="preserve">) = </m:t>
        </m:r>
        <m:r>
          <m:rPr>
            <m:nor m:val="1"/>
            <m:sty m:val="p"/>
          </m:rPr>
          <w:rPr>
            <w:rFonts w:ascii="Latin Modern Math" w:hAnsi="Latin Modern Math"/>
          </w:rPr>
          <m:t xml:space="preserve">1</m:t>
        </m:r>
      </m:oMath>
      <w:r>
        <w:rPr/>
        <w:t>, the present proper radii can be written</w:t>
      </w:r>
    </w:p>
    <w:p>
      <w:pPr>
        <w:pStyle w:val="Equation"/>
      </w:pPr>
      <m:oMathPara>
        <m:oMath>
          <m:sSub>
            <m:e>
              <m:r>
                <m:rPr>
                  <m:sty m:val="i"/>
                </m:rPr>
                <w:rPr>
                  <w:rFonts w:ascii="Latin Modern Math" w:hAnsi="Latin Modern Math"/>
                </w:rPr>
                <m:t xml:space="preserve">R</m:t>
              </m:r>
            </m:e>
            <m:sub>
              <m:r>
                <m:rPr>
                  <m:nor m:val="1"/>
                  <m:sty m:val="p"/>
                </m:rPr>
                <w:rPr>
                  <w:rFonts w:ascii="Latin Modern Math" w:hAnsi="Latin Modern Math"/>
                </w:rPr>
                <m:t xml:space="preserve">particle</m:t>
              </m:r>
            </m:sub>
          </m:sSub>
          <m:r>
            <m:rPr>
              <m:sty m:val="i"/>
            </m:rPr>
            <w:rPr>
              <w:rFonts w:ascii="Latin Modern Math" w:hAnsi="Latin Modern Math"/>
            </w:rPr>
            <m:t xml:space="preserve">(</m:t>
          </m:r>
          <m:sSub>
            <m:e>
              <m:r>
                <m:rPr>
                  <m:sty m:val="i"/>
                </m:rPr>
                <w:rPr>
                  <w:rFonts w:ascii="Latin Modern Math" w:hAnsi="Latin Modern Math"/>
                </w:rPr>
                <m:t xml:space="preserve">t</m:t>
              </m:r>
            </m:e>
            <m:sub>
              <m:r>
                <m:rPr>
                  <m:nor m:val="1"/>
                  <m:sty m:val="p"/>
                </m:rPr>
                <w:rPr>
                  <w:rFonts w:ascii="Latin Modern Math" w:hAnsi="Latin Modern Math"/>
                </w:rPr>
                <m:t xml:space="preserve">0</m:t>
              </m:r>
            </m:sub>
          </m:sSub>
          <m:r>
            <m:rPr>
              <m:sty m:val="i"/>
            </m:rPr>
            <w:rPr>
              <w:rFonts w:ascii="Latin Modern Math" w:hAnsi="Latin Modern Math"/>
            </w:rPr>
            <m:t xml:space="preserve">) = a(</m:t>
          </m:r>
          <m:sSub>
            <m:e>
              <m:r>
                <m:rPr>
                  <m:sty m:val="i"/>
                </m:rPr>
                <w:rPr>
                  <w:rFonts w:ascii="Latin Modern Math" w:hAnsi="Latin Modern Math"/>
                </w:rPr>
                <m:t xml:space="preserve">t</m:t>
              </m:r>
            </m:e>
            <m:sub>
              <m:r>
                <m:rPr>
                  <m:nor m:val="1"/>
                  <m:sty m:val="p"/>
                </m:rPr>
                <w:rPr>
                  <w:rFonts w:ascii="Latin Modern Math" w:hAnsi="Latin Modern Math"/>
                </w:rPr>
                <m:t xml:space="preserve">0</m:t>
              </m:r>
            </m:sub>
          </m:sSub>
          <m:r>
            <m:rPr>
              <m:sty m:val="i"/>
            </m:rPr>
            <w:rPr>
              <w:rFonts w:ascii="Latin Modern Math" w:hAnsi="Latin Modern Math"/>
            </w:rPr>
            <m:t xml:space="preserve">) </m:t>
          </m:r>
          <m:nary>
            <m:naryPr>
              <m:chr m:val="∫"/>
              <m:limLoc m:val="subSup"/>
              <m:grow m:val="1"/>
              <m:subHide m:val="0"/>
              <m:supHide m:val="0"/>
            </m:naryPr>
            <m:sub>
              <m:r>
                <m:rPr>
                  <m:nor m:val="1"/>
                  <m:sty m:val="p"/>
                </m:rPr>
                <w:rPr>
                  <w:rFonts w:ascii="Latin Modern Math" w:hAnsi="Latin Modern Math"/>
                </w:rPr>
                <m:t xml:space="preserve">0</m:t>
              </m:r>
            </m:sub>
            <m:sup>
              <m:sSub>
                <m:e>
                  <m:r>
                    <m:rPr>
                      <m:sty m:val="i"/>
                    </m:rPr>
                    <w:rPr>
                      <w:rFonts w:ascii="Latin Modern Math" w:hAnsi="Latin Modern Math"/>
                    </w:rPr>
                    <m:t xml:space="preserve">t</m:t>
                  </m:r>
                </m:e>
                <m:sub>
                  <m:r>
                    <m:rPr>
                      <m:nor m:val="1"/>
                      <m:sty m:val="p"/>
                    </m:rPr>
                    <w:rPr>
                      <w:rFonts w:ascii="Latin Modern Math" w:hAnsi="Latin Modern Math"/>
                    </w:rPr>
                    <m:t xml:space="preserve">0</m:t>
                  </m:r>
                </m:sub>
              </m:sSub>
            </m:sup>
            <m:e>
              <m:d>
                <m:dPr>
                  <m:begChr m:val="["/>
                  <m:endChr m:val="]"/>
                </m:dPr>
                <m:e>
                  <m:f>
                    <m:num>
                      <m:r>
                        <m:rPr>
                          <m:sty m:val="i"/>
                        </m:rPr>
                        <w:rPr>
                          <w:rFonts w:ascii="Latin Modern Math" w:hAnsi="Latin Modern Math"/>
                        </w:rPr>
                        <m:t xml:space="preserve">c</m:t>
                      </m:r>
                    </m:num>
                    <m:den>
                      <m:r>
                        <m:rPr>
                          <m:sty m:val="i"/>
                        </m:rPr>
                        <w:rPr>
                          <w:rFonts w:ascii="Latin Modern Math" w:hAnsi="Latin Modern Math"/>
                        </w:rPr>
                        <m:t xml:space="preserve">a(t)</m:t>
                      </m:r>
                    </m:den>
                  </m:f>
                </m:e>
              </m:d>
              <m:r>
                <m:rPr>
                  <m:nor m:val="1"/>
                  <m:sty m:val="p"/>
                </m:rPr>
                <w:rPr>
                  <w:rFonts w:ascii="Latin Modern Math" w:hAnsi="Latin Modern Math"/>
                </w:rPr>
                <m:t xml:space="preserve"> d</m:t>
              </m:r>
              <m:r>
                <m:rPr>
                  <m:sty m:val="i"/>
                </m:rPr>
                <w:rPr>
                  <w:rFonts w:ascii="Latin Modern Math" w:hAnsi="Latin Modern Math"/>
                </w:rPr>
                <m:t xml:space="preserve">t</m:t>
              </m:r>
            </m:e>
          </m:nary>
          <m:r>
            <m:rPr>
              <m:nor m:val="1"/>
              <m:sty m:val="p"/>
            </m:rPr>
            <w:rPr>
              <w:rFonts w:ascii="Latin Modern Math" w:hAnsi="Latin Modern Math"/>
            </w:rPr>
            <m:t xml:space="preserve">,</m:t>
          </m:r>
        </m:oMath>
      </m:oMathPara>
    </w:p>
    <w:p>
      <w:pPr>
        <w:pStyle w:val="Equation"/>
      </w:pPr>
      <m:oMathPara>
        <m:oMath>
          <m:sSub>
            <m:e>
              <m:r>
                <m:rPr>
                  <m:sty m:val="i"/>
                </m:rPr>
                <w:rPr>
                  <w:rFonts w:ascii="Latin Modern Math" w:hAnsi="Latin Modern Math"/>
                </w:rPr>
                <m:t xml:space="preserve">R</m:t>
              </m:r>
            </m:e>
            <m:sub>
              <m:r>
                <m:rPr>
                  <m:nor m:val="1"/>
                  <m:sty m:val="p"/>
                </m:rPr>
                <w:rPr>
                  <w:rFonts w:ascii="Latin Modern Math" w:hAnsi="Latin Modern Math"/>
                </w:rPr>
                <m:t xml:space="preserve">event</m:t>
              </m:r>
            </m:sub>
          </m:sSub>
          <m:r>
            <m:rPr>
              <m:sty m:val="i"/>
            </m:rPr>
            <w:rPr>
              <w:rFonts w:ascii="Latin Modern Math" w:hAnsi="Latin Modern Math"/>
            </w:rPr>
            <m:t xml:space="preserve">(</m:t>
          </m:r>
          <m:sSub>
            <m:e>
              <m:r>
                <m:rPr>
                  <m:sty m:val="i"/>
                </m:rPr>
                <w:rPr>
                  <w:rFonts w:ascii="Latin Modern Math" w:hAnsi="Latin Modern Math"/>
                </w:rPr>
                <m:t xml:space="preserve">t</m:t>
              </m:r>
            </m:e>
            <m:sub>
              <m:r>
                <m:rPr>
                  <m:nor m:val="1"/>
                  <m:sty m:val="p"/>
                </m:rPr>
                <w:rPr>
                  <w:rFonts w:ascii="Latin Modern Math" w:hAnsi="Latin Modern Math"/>
                </w:rPr>
                <m:t xml:space="preserve">0</m:t>
              </m:r>
            </m:sub>
          </m:sSub>
          <m:r>
            <m:rPr>
              <m:sty m:val="i"/>
            </m:rPr>
            <w:rPr>
              <w:rFonts w:ascii="Latin Modern Math" w:hAnsi="Latin Modern Math"/>
            </w:rPr>
            <m:t xml:space="preserve">) = a(</m:t>
          </m:r>
          <m:sSub>
            <m:e>
              <m:r>
                <m:rPr>
                  <m:sty m:val="i"/>
                </m:rPr>
                <w:rPr>
                  <w:rFonts w:ascii="Latin Modern Math" w:hAnsi="Latin Modern Math"/>
                </w:rPr>
                <m:t xml:space="preserve">t</m:t>
              </m:r>
            </m:e>
            <m:sub>
              <m:r>
                <m:rPr>
                  <m:nor m:val="1"/>
                  <m:sty m:val="p"/>
                </m:rPr>
                <w:rPr>
                  <w:rFonts w:ascii="Latin Modern Math" w:hAnsi="Latin Modern Math"/>
                </w:rPr>
                <m:t xml:space="preserve">0</m:t>
              </m:r>
            </m:sub>
          </m:sSub>
          <m:r>
            <m:rPr>
              <m:sty m:val="i"/>
            </m:rPr>
            <w:rPr>
              <w:rFonts w:ascii="Latin Modern Math" w:hAnsi="Latin Modern Math"/>
            </w:rPr>
            <m:t xml:space="preserve">) </m:t>
          </m:r>
          <m:nary>
            <m:naryPr>
              <m:chr m:val="∫"/>
              <m:limLoc m:val="subSup"/>
              <m:grow m:val="1"/>
              <m:subHide m:val="0"/>
              <m:supHide m:val="0"/>
            </m:naryPr>
            <m:sub>
              <m:sSub>
                <m:e>
                  <m:r>
                    <m:rPr>
                      <m:sty m:val="i"/>
                    </m:rPr>
                    <w:rPr>
                      <w:rFonts w:ascii="Latin Modern Math" w:hAnsi="Latin Modern Math"/>
                    </w:rPr>
                    <m:t xml:space="preserve">t</m:t>
                  </m:r>
                </m:e>
                <m:sub>
                  <m:r>
                    <m:rPr>
                      <m:nor m:val="1"/>
                      <m:sty m:val="p"/>
                    </m:rPr>
                    <w:rPr>
                      <w:rFonts w:ascii="Latin Modern Math" w:hAnsi="Latin Modern Math"/>
                    </w:rPr>
                    <m:t xml:space="preserve">0</m:t>
                  </m:r>
                </m:sub>
              </m:sSub>
            </m:sub>
            <m:sup>
              <m:sSub>
                <m:e>
                  <m:r>
                    <m:rPr>
                      <m:sty m:val="i"/>
                    </m:rPr>
                    <w:rPr>
                      <w:rFonts w:ascii="Latin Modern Math" w:hAnsi="Latin Modern Math"/>
                    </w:rPr>
                    <m:t xml:space="preserve">t</m:t>
                  </m:r>
                </m:e>
                <m:sub>
                  <m:r>
                    <m:rPr>
                      <m:nor m:val="1"/>
                      <m:sty m:val="p"/>
                    </m:rPr>
                    <w:rPr>
                      <w:rFonts w:ascii="Latin Modern Math" w:hAnsi="Latin Modern Math"/>
                    </w:rPr>
                    <m:t xml:space="preserve">max</m:t>
                  </m:r>
                </m:sub>
              </m:sSub>
            </m:sup>
            <m:e>
              <m:d>
                <m:dPr>
                  <m:begChr m:val="["/>
                  <m:endChr m:val="]"/>
                </m:dPr>
                <m:e>
                  <m:f>
                    <m:num>
                      <m:r>
                        <m:rPr>
                          <m:sty m:val="i"/>
                        </m:rPr>
                        <w:rPr>
                          <w:rFonts w:ascii="Latin Modern Math" w:hAnsi="Latin Modern Math"/>
                        </w:rPr>
                        <m:t xml:space="preserve">c</m:t>
                      </m:r>
                    </m:num>
                    <m:den>
                      <m:r>
                        <m:rPr>
                          <m:sty m:val="i"/>
                        </m:rPr>
                        <w:rPr>
                          <w:rFonts w:ascii="Latin Modern Math" w:hAnsi="Latin Modern Math"/>
                        </w:rPr>
                        <m:t xml:space="preserve">a(t)</m:t>
                      </m:r>
                    </m:den>
                  </m:f>
                </m:e>
              </m:d>
              <m:r>
                <m:rPr>
                  <m:nor m:val="1"/>
                  <m:sty m:val="p"/>
                </m:rPr>
                <w:rPr>
                  <w:rFonts w:ascii="Latin Modern Math" w:hAnsi="Latin Modern Math"/>
                </w:rPr>
                <m:t xml:space="preserve"> d</m:t>
              </m:r>
              <m:r>
                <m:rPr>
                  <m:sty m:val="i"/>
                </m:rPr>
                <w:rPr>
                  <w:rFonts w:ascii="Latin Modern Math" w:hAnsi="Latin Modern Math"/>
                </w:rPr>
                <m:t xml:space="preserve">t</m:t>
              </m:r>
            </m:e>
          </m:nary>
          <m:r>
            <m:rPr>
              <m:nor m:val="1"/>
              <m:sty m:val="p"/>
            </m:rPr>
            <w:rPr>
              <w:rFonts w:ascii="Latin Modern Math" w:hAnsi="Latin Modern Math"/>
            </w:rPr>
            <m:t xml:space="preserve">,</m:t>
          </m:r>
        </m:oMath>
      </m:oMathPara>
    </w:p>
    <w:p>
      <w:pPr/>
      <w:r>
        <w:rPr/>
        <w:t xml:space="preserve">where </w:t>
      </w:r>
      <m:oMath>
        <m:sSub>
          <m:e>
            <m:r>
              <m:rPr>
                <m:sty m:val="i"/>
              </m:rPr>
              <w:rPr>
                <w:rFonts w:ascii="Latin Modern Math" w:hAnsi="Latin Modern Math"/>
              </w:rPr>
              <m:t xml:space="preserve">t</m:t>
            </m:r>
          </m:e>
          <m:sub>
            <m:r>
              <m:rPr>
                <m:nor m:val="1"/>
                <m:sty m:val="p"/>
              </m:rPr>
              <w:rPr>
                <w:rFonts w:ascii="Latin Modern Math" w:hAnsi="Latin Modern Math"/>
              </w:rPr>
              <m:t xml:space="preserve">max</m:t>
            </m:r>
          </m:sub>
        </m:sSub>
      </m:oMath>
      <w:r>
        <w:rPr/>
        <w:t xml:space="preserve"> is the future endpoint, infinite in an eternally expanding nonsingular model. An event horizon exists only when the latter integral is finite. Today's acceleration does not determine the integrand for all future time. [C23]</w:t>
      </w:r>
    </w:p>
    <w:p>
      <w:pPr/>
      <w:r>
        <w:rPr/>
        <w:t>Under a representative persistent-Λ model the current particle-horizon radius is roughly 46 billion light-years, while the event-horizon radius is roughly 16–17 billion light-years. These are model-inferred present proper distances; with the chosen normalization their present comoving numerical values coincide. They are not interchangeable radii of one observable region. [C01, C02]</w:t>
      </w:r>
    </w:p>
    <w:p>
      <w:pPr/>
      <w:r>
        <w:rPr/>
        <w:t>The event horizon limits particular emissions and observer worldlines. Light emitted long ago can still arrive from an object whose present location lies beyond our current event-horizon distance. It is therefore wrong to say that such objects never exchanged signals. In ΛCDM the comoving event-horizon radius decreases while its proper radius approaches a finite de Sitter value; the comoving particle-horizon radius increases toward a limit. The observable universe does not shrink in comoving radius in the way the earlier text asserted. [C23]</w:t>
      </w:r>
    </w:p>
    <w:p>
      <w:pPr/>
      <w:r>
        <w:rPr/>
        <w:t>These causal constraints matter to any communication proposal. They do not supply a price for a relational transaction, imply that everything presently visible is reachable now, or determine how much useful energy a future observer can collect.</w:t>
      </w:r>
    </w:p>
    <w:p>
      <w:pPr>
        <w:pStyle w:val="Heading3"/>
      </w:pPr>
      <w:bookmarkStart w:id="344" w:name="v5_l220"/>
      <w:r>
        <w:rPr>
          <w:sz w:val="26"/>
        </w:rPr>
        <w:t>4 What DESI currently adds</w:t>
      </w:r>
      <w:bookmarkEnd w:id="344"/>
    </w:p>
    <w:p>
      <w:pPr/>
      <w:r>
        <w:rPr/>
        <w:t xml:space="preserve">DESI tests expansion models using astronomical measurements. The often-used evolving equation of state is </w:t>
      </w:r>
      <m:oMath>
        <m:r>
          <m:rPr>
            <m:sty m:val="i"/>
          </m:rPr>
          <w:rPr>
            <w:rFonts w:ascii="Latin Modern Math" w:hAnsi="Latin Modern Math"/>
          </w:rPr>
          <m:t xml:space="preserve">w(a) = </m:t>
        </m:r>
        <m:sSub>
          <m:e>
            <m:r>
              <m:rPr>
                <m:sty m:val="i"/>
              </m:rPr>
              <w:rPr>
                <w:rFonts w:ascii="Latin Modern Math" w:hAnsi="Latin Modern Math"/>
              </w:rPr>
              <m:t xml:space="preserve">w</m:t>
            </m:r>
          </m:e>
          <m:sub>
            <m:r>
              <m:rPr>
                <m:nor m:val="1"/>
                <m:sty m:val="p"/>
              </m:rPr>
              <w:rPr>
                <w:rFonts w:ascii="Latin Modern Math" w:hAnsi="Latin Modern Math"/>
              </w:rPr>
              <m:t xml:space="preserve">0</m:t>
            </m:r>
          </m:sub>
        </m:sSub>
        <m:r>
          <m:rPr>
            <m:sty m:val="i"/>
          </m:rPr>
          <w:rPr>
            <w:rFonts w:ascii="Latin Modern Math" w:hAnsi="Latin Modern Math"/>
          </w:rPr>
          <m:t xml:space="preserve"> + </m:t>
        </m:r>
        <m:sSub>
          <m:e>
            <m:r>
              <m:rPr>
                <m:sty m:val="i"/>
              </m:rPr>
              <w:rPr>
                <w:rFonts w:ascii="Latin Modern Math" w:hAnsi="Latin Modern Math"/>
              </w:rPr>
              <m:t xml:space="preserve">w</m:t>
            </m:r>
          </m:e>
          <m:sub>
            <m:r>
              <m:rPr>
                <m:nor m:val="1"/>
                <m:sty m:val="p"/>
              </m:rPr>
              <w:rPr>
                <w:rFonts w:ascii="Latin Modern Math" w:hAnsi="Latin Modern Math"/>
              </w:rPr>
              <m:t xml:space="preserve">a</m:t>
            </m:r>
          </m:sub>
        </m:sSub>
        <m:d>
          <m:dPr>
            <m:begChr m:val="("/>
            <m:endChr m:val=")"/>
          </m:dPr>
          <m:e>
            <m:r>
              <m:rPr>
                <m:nor m:val="1"/>
                <m:sty m:val="p"/>
              </m:rPr>
              <w:rPr>
                <w:rFonts w:ascii="Latin Modern Math" w:hAnsi="Latin Modern Math"/>
              </w:rPr>
              <m:t xml:space="preserve">1</m:t>
            </m:r>
            <m:r>
              <m:rPr>
                <m:sty m:val="i"/>
              </m:rPr>
              <w:rPr>
                <w:rFonts w:ascii="Latin Modern Math" w:hAnsi="Latin Modern Math"/>
              </w:rPr>
              <m:t xml:space="preserve"> − a</m:t>
            </m:r>
          </m:e>
        </m:d>
      </m:oMath>
      <w:r>
        <w:rPr/>
        <w:t xml:space="preserve">, with </w:t>
      </w:r>
      <m:oMath>
        <m:r>
          <m:rPr>
            <m:sty m:val="i"/>
          </m:rPr>
          <w:rPr>
            <w:rFonts w:ascii="Latin Modern Math" w:hAnsi="Latin Modern Math"/>
          </w:rPr>
          <m:t xml:space="preserve">w = </m:t>
        </m:r>
        <m:f>
          <m:num>
            <m:r>
              <m:rPr>
                <m:sty m:val="i"/>
              </m:rPr>
              <w:rPr>
                <w:rFonts w:ascii="Latin Modern Math" w:hAnsi="Latin Modern Math"/>
              </w:rPr>
              <m:t xml:space="preserve">p</m:t>
            </m:r>
          </m:num>
          <m:den>
            <m:r>
              <m:rPr>
                <m:sty m:val="i"/>
              </m:rPr>
              <w:rPr>
                <w:rFonts w:ascii="Latin Modern Math" w:hAnsi="Latin Modern Math"/>
              </w:rPr>
              <m:t xml:space="preserve">ρ</m:t>
            </m:r>
            <m:sSup>
              <m:e>
                <m:r>
                  <m:rPr>
                    <m:sty m:val="i"/>
                  </m:rPr>
                  <w:rPr>
                    <w:rFonts w:ascii="Latin Modern Math" w:hAnsi="Latin Modern Math"/>
                  </w:rPr>
                  <m:t xml:space="preserve">c</m:t>
                </m:r>
              </m:e>
              <m:sup>
                <m:r>
                  <m:rPr>
                    <m:nor m:val="1"/>
                    <m:sty m:val="p"/>
                  </m:rPr>
                  <w:rPr>
                    <w:rFonts w:ascii="Latin Modern Math" w:hAnsi="Latin Modern Math"/>
                  </w:rPr>
                  <m:t xml:space="preserve">2</m:t>
                </m:r>
              </m:sup>
            </m:sSup>
          </m:den>
        </m:f>
      </m:oMath>
      <w:r>
        <w:rPr/>
        <w:t xml:space="preserve"> when ρ is mass-equivalent density. This parameterization is a fitting model, not a fundamental law guaranteed to describe the remote future.</w:t>
      </w:r>
    </w:p>
    <w:p>
      <w:pPr/>
      <w:r>
        <w:rPr/>
        <w:t>The following is a new editorial comparison, not a recovered table from the source manuscript. Significances refer to the specified analyses' comparisons with ΛCDM, not probabilities that dark energy is dynamical.</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95" w:type="dxa"/>
          <w:bottom w:w="95" w:type="dxa"/>
          <w:left w:w="105" w:type="dxa"/>
          <w:right w:w="105" w:type="dxa"/>
        </w:tblCellMar>
      </w:tblPr>
      <w:tblGrid>
        <w:gridCol w:w="2952"/>
        <w:gridCol w:w="6408"/>
      </w:tblGrid>
      <w:tr>
        <w:trPr>
          <w:cantSplit/>
          <w:tblHeader w:val="true"/>
        </w:trPr>
        <w:tc>
          <w:tcPr>
            <w:tcW w:type="dxa" w:w="2952"/>
            <w:vAlign w:val="center"/>
            <w:shd w:fill="EDEDED"/>
          </w:tcPr>
          <w:p>
            <w:pPr>
              <w:pStyle w:val="BookTable"/>
              <w:keepNext/>
            </w:pPr>
            <w:r>
              <w:rPr>
                <w:b/>
              </w:rPr>
              <w:t>Primary analysis</w:t>
            </w:r>
          </w:p>
        </w:tc>
        <w:tc>
          <w:tcPr>
            <w:tcW w:type="dxa" w:w="6408"/>
            <w:vAlign w:val="center"/>
            <w:shd w:fill="EDEDED"/>
          </w:tcPr>
          <w:p>
            <w:pPr>
              <w:pStyle w:val="BookTable"/>
              <w:keepNext/>
            </w:pPr>
            <w:r>
              <w:rPr>
                <w:b/>
              </w:rPr>
              <w:t xml:space="preserve">Data combination and reported preference for </w:t>
            </w:r>
            <m:oMath>
              <m:sSub>
                <m:e>
                  <m:r>
                    <m:rPr>
                      <m:sty m:val="i"/>
                    </m:rPr>
                    <w:rPr>
                      <w:rFonts w:ascii="Latin Modern Math" w:hAnsi="Latin Modern Math"/>
                    </w:rPr>
                    <m:t xml:space="preserve">w</m:t>
                  </m:r>
                </m:e>
                <m:sub>
                  <m:r>
                    <m:rPr>
                      <m:nor m:val="1"/>
                      <m:sty m:val="p"/>
                    </m:rPr>
                    <w:rPr>
                      <w:rFonts w:ascii="Latin Modern Math" w:hAnsi="Latin Modern Math"/>
                    </w:rPr>
                    <m:t xml:space="preserve">0</m:t>
                  </m:r>
                </m:sub>
              </m:sSub>
              <m:sSub>
                <m:e>
                  <m:r>
                    <m:rPr>
                      <m:sty m:val="i"/>
                    </m:rPr>
                    <w:rPr>
                      <w:rFonts w:ascii="Latin Modern Math" w:hAnsi="Latin Modern Math"/>
                    </w:rPr>
                    <m:t xml:space="preserve">w</m:t>
                  </m:r>
                </m:e>
                <m:sub>
                  <m:r>
                    <m:rPr>
                      <m:nor m:val="1"/>
                      <m:sty m:val="p"/>
                    </m:rPr>
                    <w:rPr>
                      <w:rFonts w:ascii="Latin Modern Math" w:hAnsi="Latin Modern Math"/>
                    </w:rPr>
                    <m:t xml:space="preserve">a</m:t>
                  </m:r>
                </m:sub>
              </m:sSub>
              <m:r>
                <m:rPr>
                  <m:nor m:val="1"/>
                  <m:sty m:val="p"/>
                </m:rPr>
                <w:rPr>
                  <w:rFonts w:ascii="Latin Modern Math" w:hAnsi="Latin Modern Math"/>
                </w:rPr>
                <m:t xml:space="preserve">CDM</m:t>
              </m:r>
            </m:oMath>
          </w:p>
        </w:tc>
      </w:tr>
      <w:tr>
        <w:trPr>
          <w:cantSplit/>
        </w:trPr>
        <w:tc>
          <w:tcPr>
            <w:tcW w:type="dxa" w:w="2952"/>
            <w:vAlign w:val="center"/>
          </w:tcPr>
          <w:p>
            <w:pPr>
              <w:pStyle w:val="BookTable"/>
              <w:keepNext w:val="0"/>
            </w:pPr>
            <w:r>
              <w:rPr/>
              <w:t>DESI 2024 VI, arXiv v3</w:t>
            </w:r>
          </w:p>
        </w:tc>
        <w:tc>
          <w:tcPr>
            <w:tcW w:type="dxa" w:w="6408"/>
            <w:vAlign w:val="center"/>
          </w:tcPr>
          <w:p>
            <w:pPr>
              <w:pStyle w:val="BookTable"/>
              <w:keepNext w:val="0"/>
            </w:pPr>
            <w:r>
              <w:rPr/>
              <w:t>BAO plus CMB and selected supernova samples: 2.5–3.9σ. [C20]</w:t>
            </w:r>
          </w:p>
        </w:tc>
      </w:tr>
      <w:tr>
        <w:trPr>
          <w:cantSplit/>
        </w:trPr>
        <w:tc>
          <w:tcPr>
            <w:tcW w:type="dxa" w:w="2952"/>
            <w:vAlign w:val="center"/>
          </w:tcPr>
          <w:p>
            <w:pPr>
              <w:pStyle w:val="BookTable"/>
              <w:keepNext w:val="0"/>
            </w:pPr>
            <w:r>
              <w:rPr/>
              <w:t>DESI DR2 II, arXiv v3, October 2025</w:t>
            </w:r>
          </w:p>
        </w:tc>
        <w:tc>
          <w:tcPr>
            <w:tcW w:type="dxa" w:w="6408"/>
            <w:vAlign w:val="center"/>
          </w:tcPr>
          <w:p>
            <w:pPr>
              <w:pStyle w:val="BookTable"/>
              <w:keepNext w:val="0"/>
            </w:pPr>
            <w:r>
              <w:rPr/>
              <w:t>BAO plus CMB: 3.1σ; adding Pantheon+, Union3 or DESY5: 2.8σ, 3.8σ or 4.2σ respectively. [C21]</w:t>
            </w:r>
          </w:p>
        </w:tc>
      </w:tr>
      <w:tr>
        <w:trPr>
          <w:cantSplit/>
        </w:trPr>
        <w:tc>
          <w:tcPr>
            <w:tcW w:type="dxa" w:w="2952"/>
            <w:vAlign w:val="center"/>
          </w:tcPr>
          <w:p>
            <w:pPr>
              <w:pStyle w:val="BookTable"/>
              <w:keepNext w:val="0"/>
            </w:pPr>
            <w:r>
              <w:rPr/>
              <w:t>DESI DR2 IV, submitted July 2026, arXiv v3, August 2026</w:t>
            </w:r>
          </w:p>
        </w:tc>
        <w:tc>
          <w:tcPr>
            <w:tcW w:type="dxa" w:w="6408"/>
            <w:vAlign w:val="center"/>
          </w:tcPr>
          <w:p>
            <w:pPr>
              <w:pStyle w:val="BookTable"/>
              <w:keepNext w:val="0"/>
            </w:pPr>
            <w:r>
              <w:rPr/>
              <w:t>BAO plus Lyα full-shape data and CMB: 2.7σ; adding DES-Dovekie: 3.2σ. Alternative updated Pantheon+ and Union3.1 combinations give 3.0σ and 3.5σ. [C22]</w:t>
            </w:r>
          </w:p>
        </w:tc>
      </w:tr>
    </w:tbl>
    <w:p>
      <w:pPr>
        <w:spacing w:after="80" w:line="40" w:lineRule="exact"/>
      </w:pPr>
      <w:r>
        <w:rPr>
          <w:sz w:val="4"/>
        </w:rPr>
      </w:r>
    </w:p>
    <w:p>
      <w:pPr/>
      <w:r>
        <w:rPr/>
        <w:t>The July analysis adds a high-redshift measurement whose central value is closer to ΛCDM. Revised external datasets also matter. The history is not one of evidence strengthening at every step; nor do these analyses amount to independent experiments whose significances can be added. The paper-specific combinations, statistical procedure and model assumptions belong with every number. [C21, C22]</w:t>
      </w:r>
    </w:p>
    <w:p>
      <w:pPr/>
      <w:r>
        <w:rPr/>
        <w:t xml:space="preserve">No significance threshold alone resolves systematic error, model flexibility or extrapolation. These results motivate further tests of evolving dark energy. They do not identify its microscopic nature, establish a particular phantom-crossing mechanism or select a fate for the universe. In particular, extrapolating </w:t>
      </w:r>
      <m:oMath>
        <m:sSub>
          <m:e>
            <m:r>
              <m:rPr>
                <m:sty m:val="i"/>
              </m:rPr>
              <w:rPr>
                <w:rFonts w:ascii="Latin Modern Math" w:hAnsi="Latin Modern Math"/>
              </w:rPr>
              <m:t xml:space="preserve">w</m:t>
            </m:r>
          </m:e>
          <m:sub>
            <m:r>
              <m:rPr>
                <m:nor m:val="1"/>
                <m:sty m:val="p"/>
              </m:rPr>
              <w:rPr>
                <w:rFonts w:ascii="Latin Modern Math" w:hAnsi="Latin Modern Math"/>
              </w:rPr>
              <m:t xml:space="preserve">0</m:t>
            </m:r>
          </m:sub>
        </m:sSub>
        <m:r>
          <m:rPr>
            <m:sty m:val="i"/>
          </m:rPr>
          <w:rPr>
            <w:rFonts w:ascii="Latin Modern Math" w:hAnsi="Latin Modern Math"/>
          </w:rPr>
          <m:t xml:space="preserve"> + </m:t>
        </m:r>
        <m:sSub>
          <m:e>
            <m:r>
              <m:rPr>
                <m:sty m:val="i"/>
              </m:rPr>
              <w:rPr>
                <w:rFonts w:ascii="Latin Modern Math" w:hAnsi="Latin Modern Math"/>
              </w:rPr>
              <m:t xml:space="preserve">w</m:t>
            </m:r>
          </m:e>
          <m:sub>
            <m:r>
              <m:rPr>
                <m:nor m:val="1"/>
                <m:sty m:val="p"/>
              </m:rPr>
              <w:rPr>
                <w:rFonts w:ascii="Latin Modern Math" w:hAnsi="Latin Modern Math"/>
              </w:rPr>
              <m:t xml:space="preserve">a</m:t>
            </m:r>
          </m:sub>
        </m:sSub>
        <m:d>
          <m:dPr>
            <m:begChr m:val="("/>
            <m:endChr m:val=")"/>
          </m:dPr>
          <m:e>
            <m:r>
              <m:rPr>
                <m:nor m:val="1"/>
                <m:sty m:val="p"/>
              </m:rPr>
              <w:rPr>
                <w:rFonts w:ascii="Latin Modern Math" w:hAnsi="Latin Modern Math"/>
              </w:rPr>
              <m:t xml:space="preserve">1</m:t>
            </m:r>
            <m:r>
              <m:rPr>
                <m:sty m:val="i"/>
              </m:rPr>
              <w:rPr>
                <w:rFonts w:ascii="Latin Modern Math" w:hAnsi="Latin Modern Math"/>
              </w:rPr>
              <m:t xml:space="preserve"> − a</m:t>
            </m:r>
          </m:e>
        </m:d>
      </m:oMath>
      <w:r>
        <w:rPr/>
        <w:t xml:space="preserve"> to arbitrarily large a can impose behavior that the observed redshift range never tested.</w:t>
      </w:r>
    </w:p>
    <w:p>
      <w:pPr>
        <w:pStyle w:val="Heading3"/>
      </w:pPr>
      <w:bookmarkStart w:id="345" w:name="v5_l236"/>
      <w:r>
        <w:rPr>
          <w:sz w:val="26"/>
        </w:rPr>
        <w:t>5 Three conditional futures and the possibilities they omit</w:t>
      </w:r>
      <w:bookmarkEnd w:id="345"/>
    </w:p>
    <w:p>
      <w:pPr/>
      <w:r>
        <w:rPr/>
        <w:t>The earlier scenarios are worth retaining as questions with explicit premises. They are not an exhaustive set of cosmologies or three outcomes selected by DESI.</w:t>
      </w:r>
    </w:p>
    <w:p>
      <w:pPr/>
      <w:r>
        <w:rPr>
          <w:b/>
        </w:rPr>
        <w:t>Persistent positive cosmological constant.</w:t>
      </w:r>
      <w:r>
        <w:rPr/>
        <w:t xml:space="preserve"> If the standard ΛCDM extrapolation remains valid, the expanding background approaches de Sitter space. A finite event horizon and limiting horizon entropy are then appropriate. The present horizon evolves toward that limit; it is not already a fixed ceiling. The horizon entropy is part of the account, not a target that interior matter entropy must eventually fill. [C06, C23]</w:t>
      </w:r>
    </w:p>
    <w:p>
      <w:pPr/>
      <w:r>
        <w:rPr>
          <w:b/>
        </w:rPr>
        <w:t>Sustained phantom behavior.</w:t>
      </w:r>
      <w:r>
        <w:rPr/>
        <w:t xml:space="preserve"> A constant equation of state </w:t>
      </w:r>
      <m:oMath>
        <m:r>
          <m:rPr>
            <m:sty m:val="i"/>
          </m:rPr>
          <w:rPr>
            <w:rFonts w:ascii="Latin Modern Math" w:hAnsi="Latin Modern Math"/>
          </w:rPr>
          <m:t xml:space="preserve">w &lt; </m:t>
        </m:r>
        <m:r>
          <m:rPr>
            <m:nor m:val="1"/>
            <m:sty m:val="p"/>
          </m:rPr>
          <w:rPr>
            <w:rFonts w:ascii="Latin Modern Math" w:hAnsi="Latin Modern Math"/>
          </w:rPr>
          <m:t xml:space="preserve">−1</m:t>
        </m:r>
      </m:oMath>
      <w:r>
        <w:rPr/>
        <w:t xml:space="preserve"> in the usual flat Friedmann model can produce a finite-time Big Rip. Its fluid density grows as the scale factor grows, and bound structures can be disrupted before the model's singular endpoint. A transient crossing of −1 does not establish this future. The classical model ceases to provide a controlled description at the singularity, so “spacetime itself is torn apart” should not be presented as an observed physical sequence. A decreasing horizon area alone is also insufficient to diagnose a generalized-second-law violation without the other entropy terms and the conditions of that law. [C24]</w:t>
      </w:r>
    </w:p>
    <w:p>
      <w:pPr/>
      <w:r>
        <w:rPr>
          <w:b/>
        </w:rPr>
        <w:t>Acceleration that ends.</w:t>
      </w:r>
      <w:r>
        <w:rPr/>
        <w:t xml:space="preserve"> If the future expansion makes </w:t>
      </w:r>
      <m:oMath>
        <m:nary>
          <m:naryPr>
            <m:chr m:val="∫"/>
            <m:limLoc m:val="subSup"/>
            <m:grow m:val="1"/>
            <m:subHide m:val="1"/>
            <m:supHide m:val="1"/>
          </m:naryPr>
          <m:sub/>
          <m:sup/>
          <m:e>
            <m:f>
              <m:num>
                <m:r>
                  <m:rPr>
                    <m:sty m:val="i"/>
                  </m:rPr>
                  <w:rPr>
                    <w:rFonts w:ascii="Latin Modern Math" w:hAnsi="Latin Modern Math"/>
                  </w:rPr>
                  <m:t xml:space="preserve">c</m:t>
                </m:r>
                <m:r>
                  <m:rPr>
                    <m:nor m:val="1"/>
                    <m:sty m:val="p"/>
                  </m:rPr>
                  <w:rPr>
                    <w:rFonts w:ascii="Latin Modern Math" w:hAnsi="Latin Modern Math"/>
                  </w:rPr>
                  <m:t xml:space="preserve"> d</m:t>
                </m:r>
                <m:r>
                  <m:rPr>
                    <m:sty m:val="i"/>
                  </m:rPr>
                  <w:rPr>
                    <w:rFonts w:ascii="Latin Modern Math" w:hAnsi="Latin Modern Math"/>
                  </w:rPr>
                  <m:t xml:space="preserve">t</m:t>
                </m:r>
              </m:num>
              <m:den>
                <m:r>
                  <m:rPr>
                    <m:sty m:val="i"/>
                  </m:rPr>
                  <w:rPr>
                    <w:rFonts w:ascii="Latin Modern Math" w:hAnsi="Latin Modern Math"/>
                  </w:rPr>
                  <m:t xml:space="preserve">a(t)</m:t>
                </m:r>
              </m:den>
            </m:f>
          </m:e>
        </m:nary>
      </m:oMath>
      <w:r>
        <w:rPr/>
        <w:t xml:space="preserve"> diverge, there is no future event horizon of this kind. An asymptotic matter-dominated power law </w:t>
      </w:r>
      <m:oMath>
        <m:r>
          <m:rPr>
            <m:sty m:val="i"/>
          </m:rPr>
          <w:rPr>
            <w:rFonts w:ascii="Latin Modern Math" w:hAnsi="Latin Modern Math"/>
          </w:rPr>
          <m:t xml:space="preserve">a(t) ∝ </m:t>
        </m:r>
        <m:sSup>
          <m:e>
            <m:r>
              <m:rPr>
                <m:sty m:val="i"/>
              </m:rPr>
              <w:rPr>
                <w:rFonts w:ascii="Latin Modern Math" w:hAnsi="Latin Modern Math"/>
              </w:rPr>
              <m:t xml:space="preserve">t</m:t>
            </m:r>
          </m:e>
          <m:sup>
            <m:f>
              <m:num>
                <m:r>
                  <m:rPr>
                    <m:nor m:val="1"/>
                    <m:sty m:val="p"/>
                  </m:rPr>
                  <w:rPr>
                    <w:rFonts w:ascii="Latin Modern Math" w:hAnsi="Latin Modern Math"/>
                  </w:rPr>
                  <m:t xml:space="preserve">2</m:t>
                </m:r>
              </m:num>
              <m:den>
                <m:r>
                  <m:rPr>
                    <m:nor m:val="1"/>
                    <m:sty m:val="p"/>
                  </m:rPr>
                  <w:rPr>
                    <w:rFonts w:ascii="Latin Modern Math" w:hAnsi="Latin Modern Math"/>
                  </w:rPr>
                  <m:t xml:space="preserve">3</m:t>
                </m:r>
              </m:den>
            </m:f>
          </m:sup>
        </m:sSup>
      </m:oMath>
      <w:r>
        <w:rPr/>
        <w:t xml:space="preserve"> is a simple example. Expansion need not stop. The absence of a de Sitter horizon does not eliminate all entropy constraints, guarantee recovery of every lost signal or provide unlimited usable work. Reachability and costs require the actual expansion history and a specified physical protocol. [C23]</w:t>
      </w:r>
    </w:p>
    <w:p>
      <w:pPr/>
      <w:r>
        <w:rPr/>
        <w:t>Other possibilities include different dynamical fields, recollapse and vacuum transitions. The framework has no evidence that chooses among them. Its task is to state which conclusion changes when an assumption changes. The absence of a permanent horizon, for example, changes a causal claim; it does not turn all sufficiently distant communication into something merely “exponentially expensive.” No such universal cost law has been derived.</w:t>
      </w:r>
    </w:p>
    <w:p>
      <w:pPr/>
      <w:r>
        <w:rPr/>
        <w:t>SupoRel can note that people interpret cosmic endings through religious or literary narratives. Those associations are interpretations made by people, not additional evidence about cosmology. Neither an open future nor a finite horizon proves a purpose, an afterlife or a universal inequality about love.</w:t>
      </w:r>
    </w:p>
    <w:p>
      <w:pPr>
        <w:pStyle w:val="Heading3"/>
      </w:pPr>
      <w:bookmarkStart w:id="346" w:name="v5_l250"/>
      <w:r>
        <w:rPr>
          <w:sz w:val="26"/>
        </w:rPr>
        <w:t>6 Black holes and the distinction between entropy and records</w:t>
      </w:r>
      <w:bookmarkEnd w:id="346"/>
    </w:p>
    <w:p>
      <w:pPr/>
      <w:r>
        <w:rPr/>
        <w:t>For a Schwarzschild black hole,</w:t>
      </w:r>
    </w:p>
    <w:p>
      <w:pPr>
        <w:pStyle w:val="Equation"/>
      </w:pPr>
      <m:oMathPara>
        <m:oMath>
          <m:f>
            <m:num>
              <m:sSub>
                <m:e>
                  <m:r>
                    <m:rPr>
                      <m:sty m:val="i"/>
                    </m:rPr>
                    <w:rPr>
                      <w:rFonts w:ascii="Latin Modern Math" w:hAnsi="Latin Modern Math"/>
                    </w:rPr>
                    <m:t xml:space="preserve">S</m:t>
                  </m:r>
                </m:e>
                <m:sub>
                  <m:r>
                    <m:rPr>
                      <m:nor m:val="1"/>
                      <m:sty m:val="p"/>
                    </m:rPr>
                    <w:rPr>
                      <w:rFonts w:ascii="Latin Modern Math" w:hAnsi="Latin Modern Math"/>
                    </w:rPr>
                    <m:t xml:space="preserve">BH</m:t>
                  </m:r>
                </m:sub>
              </m:sSub>
            </m:num>
            <m:den>
              <m:sSub>
                <m:e>
                  <m:r>
                    <m:rPr>
                      <m:sty m:val="i"/>
                    </m:rPr>
                    <w:rPr>
                      <w:rFonts w:ascii="Latin Modern Math" w:hAnsi="Latin Modern Math"/>
                    </w:rPr>
                    <m:t xml:space="preserve">k</m:t>
                  </m:r>
                </m:e>
                <m:sub>
                  <m:r>
                    <m:rPr>
                      <m:nor m:val="1"/>
                      <m:sty m:val="p"/>
                    </m:rPr>
                    <w:rPr>
                      <w:rFonts w:ascii="Latin Modern Math" w:hAnsi="Latin Modern Math"/>
                    </w:rPr>
                    <m:t xml:space="preserve">B</m:t>
                  </m:r>
                </m:sub>
              </m:sSub>
            </m:den>
          </m:f>
          <m:r>
            <m:rPr>
              <m:sty m:val="i"/>
            </m:rPr>
            <w:rPr>
              <w:rFonts w:ascii="Latin Modern Math" w:hAnsi="Latin Modern Math"/>
            </w:rPr>
            <m:t xml:space="preserve"> = </m:t>
          </m:r>
          <m:f>
            <m:num>
              <m:r>
                <m:rPr>
                  <m:sty m:val="i"/>
                </m:rPr>
                <w:rPr>
                  <w:rFonts w:ascii="Latin Modern Math" w:hAnsi="Latin Modern Math"/>
                </w:rPr>
                <m:t xml:space="preserve">4πG</m:t>
              </m:r>
              <m:sSup>
                <m:e>
                  <m:r>
                    <m:rPr>
                      <m:sty m:val="i"/>
                    </m:rPr>
                    <w:rPr>
                      <w:rFonts w:ascii="Latin Modern Math" w:hAnsi="Latin Modern Math"/>
                    </w:rPr>
                    <m:t xml:space="preserve">M</m:t>
                  </m:r>
                </m:e>
                <m:sup>
                  <m:r>
                    <m:rPr>
                      <m:nor m:val="1"/>
                      <m:sty m:val="p"/>
                    </m:rPr>
                    <w:rPr>
                      <w:rFonts w:ascii="Latin Modern Math" w:hAnsi="Latin Modern Math"/>
                    </w:rPr>
                    <m:t xml:space="preserve">2</m:t>
                  </m:r>
                </m:sup>
              </m:sSup>
            </m:num>
            <m:den>
              <m:r>
                <m:rPr>
                  <m:sty m:val="i"/>
                </m:rPr>
                <w:rPr>
                  <w:rFonts w:ascii="Latin Modern Math" w:hAnsi="Latin Modern Math"/>
                </w:rPr>
                <m:t xml:space="preserve">ℏc</m:t>
              </m:r>
            </m:den>
          </m:f>
          <m:r>
            <m:rPr>
              <m:sty m:val="i"/>
            </m:rPr>
            <w:rPr>
              <w:rFonts w:ascii="Latin Modern Math" w:hAnsi="Latin Modern Math"/>
            </w:rPr>
            <m:t xml:space="preserve"> ≈ </m:t>
          </m:r>
          <m:r>
            <m:rPr>
              <m:nor m:val="1"/>
              <m:sty m:val="p"/>
            </m:rPr>
            <w:rPr>
              <w:rFonts w:ascii="Latin Modern Math" w:hAnsi="Latin Modern Math"/>
            </w:rPr>
            <m:t xml:space="preserve">1.05 × </m:t>
          </m:r>
          <m:sSup>
            <m:e>
              <m:r>
                <m:rPr>
                  <m:sty m:val="i"/>
                </m:rPr>
                <w:rPr>
                  <w:rFonts w:ascii="Latin Modern Math" w:hAnsi="Latin Modern Math"/>
                </w:rPr>
                <m:t xml:space="preserve">10</m:t>
              </m:r>
            </m:e>
            <m:sup>
              <m:r>
                <m:rPr>
                  <m:nor m:val="1"/>
                  <m:sty m:val="p"/>
                </m:rPr>
                <w:rPr>
                  <w:rFonts w:ascii="Latin Modern Math" w:hAnsi="Latin Modern Math"/>
                </w:rPr>
                <m:t xml:space="preserve">77</m:t>
              </m:r>
            </m:sup>
          </m:sSup>
          <m:r>
            <m:rPr>
              <m:sty m:val="i"/>
            </m:rPr>
            <w:rPr>
              <w:rFonts w:ascii="Latin Modern Math" w:hAnsi="Latin Modern Math"/>
            </w:rPr>
            <m:t xml:space="preserve"> </m:t>
          </m:r>
          <m:sSup>
            <m:e>
              <m:d>
                <m:dPr>
                  <m:begChr m:val="("/>
                  <m:endChr m:val=")"/>
                </m:dPr>
                <m:e>
                  <m:f>
                    <m:num>
                      <m:r>
                        <m:rPr>
                          <m:sty m:val="i"/>
                        </m:rPr>
                        <w:rPr>
                          <w:rFonts w:ascii="Latin Modern Math" w:hAnsi="Latin Modern Math"/>
                        </w:rPr>
                        <m:t xml:space="preserve">M</m:t>
                      </m:r>
                    </m:num>
                    <m:den>
                      <m:sSub>
                        <m:e>
                          <m:r>
                            <m:rPr>
                              <m:sty m:val="i"/>
                            </m:rPr>
                            <w:rPr>
                              <w:rFonts w:ascii="Latin Modern Math" w:hAnsi="Latin Modern Math"/>
                            </w:rPr>
                            <m:t xml:space="preserve">M</m:t>
                          </m:r>
                        </m:e>
                        <m:sub>
                          <m:r>
                            <m:rPr>
                              <m:nor m:val="1"/>
                              <m:sty m:val="p"/>
                            </m:rPr>
                            <w:rPr>
                              <w:rFonts w:ascii="Latin Modern Math" w:hAnsi="Latin Modern Math"/>
                            </w:rPr>
                            <m:t xml:space="preserve">⊙</m:t>
                          </m:r>
                        </m:sub>
                      </m:sSub>
                    </m:den>
                  </m:f>
                </m:e>
              </m:d>
            </m:e>
            <m:sup>
              <m:r>
                <m:rPr>
                  <m:nor m:val="1"/>
                  <m:sty m:val="p"/>
                </m:rPr>
                <w:rPr>
                  <w:rFonts w:ascii="Latin Modern Math" w:hAnsi="Latin Modern Math"/>
                </w:rPr>
                <m:t xml:space="preserve">2</m:t>
              </m:r>
            </m:sup>
          </m:sSup>
          <m:r>
            <m:rPr>
              <m:nor m:val="1"/>
              <m:sty m:val="p"/>
            </m:rPr>
            <w:rPr>
              <w:rFonts w:ascii="Latin Modern Math" w:hAnsi="Latin Modern Math"/>
            </w:rPr>
            <m:t xml:space="preserve">.</m:t>
          </m:r>
        </m:oMath>
      </m:oMathPara>
    </w:p>
    <w:p>
      <w:pPr/>
      <w:r>
        <w:rPr/>
        <w:t xml:space="preserve">A mass of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m:t>
            </m:r>
          </m:sup>
        </m:sSup>
      </m:oMath>
      <w:r>
        <w:rPr/>
        <w:t xml:space="preserve"> </w:t>
      </w:r>
      <m:oMath>
        <m:sSub>
          <m:e>
            <m:r>
              <m:rPr>
                <m:sty m:val="i"/>
              </m:rPr>
              <w:rPr>
                <w:rFonts w:ascii="Latin Modern Math" w:hAnsi="Latin Modern Math"/>
              </w:rPr>
              <m:t xml:space="preserve">M</m:t>
            </m:r>
          </m:e>
          <m:sub>
            <m:r>
              <m:rPr>
                <m:nor m:val="1"/>
                <m:sty m:val="p"/>
              </m:rPr>
              <w:rPr>
                <w:rFonts w:ascii="Latin Modern Math" w:hAnsi="Latin Modern Math"/>
              </w:rPr>
              <m:t xml:space="preserve">⊙</m:t>
            </m:r>
          </m:sub>
        </m:sSub>
      </m:oMath>
      <w:r>
        <w:rPr/>
        <w:t xml:space="preserve"> therefore gives approximately </w:t>
      </w:r>
      <m:oMath>
        <m:r>
          <m:rPr>
            <m:nor m:val="1"/>
            <m:sty m:val="p"/>
          </m:rPr>
          <w:rPr>
            <w:rFonts w:ascii="Latin Modern Math" w:hAnsi="Latin Modern Math"/>
          </w:rPr>
          <m:t xml:space="preserve">1.05 × </m:t>
        </m:r>
        <m:sSup>
          <m:e>
            <m:r>
              <m:rPr>
                <m:nor m:val="1"/>
                <m:sty m:val="p"/>
              </m:rPr>
              <w:rPr>
                <w:rFonts w:ascii="Latin Modern Math" w:hAnsi="Latin Modern Math"/>
              </w:rPr>
              <m:t xml:space="preserve">10</m:t>
            </m:r>
          </m:e>
          <m:sup>
            <m:r>
              <m:rPr>
                <m:nor m:val="1"/>
                <m:sty m:val="p"/>
              </m:rPr>
              <w:rPr>
                <w:rFonts w:ascii="Latin Modern Math" w:hAnsi="Latin Modern Math"/>
              </w:rPr>
              <m:t xml:space="preserve">95</m:t>
            </m:r>
          </m:sup>
        </m:sSup>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rather than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96</m:t>
            </m:r>
          </m:sup>
        </m:sSup>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Rotation changes the horizon area at fixed mass; the example assumes zero spin and charge. A population inventory must weight the mass distribution by the appropriate horizon entropy. Multiplying a generic galaxy count by a single chosen black-hole mass is not a substitute. [C05, C28]</w:t>
      </w:r>
    </w:p>
    <w:p>
      <w:pPr/>
      <w:r>
        <w:rPr/>
        <w:t>The island and quantum-extremal-surface calculations provide important theoretical evidence for Page-curve behavior in controlled gravitational models. Almheiri and colleagues study a two-dimensional gravity system coupled to quantum matter and an auxiliary heat sink; Penington's analysis uses an AdS/CFT evaporation setting; replica-wormhole calculations supply a related route to the radiation entropy. These are not observations of astrophysical Hawking radiation or a general experimental solution of black-hole information loss. [C26, C27, C36]</w:t>
      </w:r>
    </w:p>
    <w:p>
      <w:pPr/>
      <w:r>
        <w:rPr/>
        <w:t>The Page curve concerns fine-grained radiation entropy, not a catalogue of meaningful interpersonal records. Its turnover need not occur at exactly half an arbitrary black hole's lifetime, and its growth need not be universally linear. Even if the full dynamics preserves quantum information, that alone does not establish the continued existence, location or recoverability of a particular semantic record. Nor does it prove that no possible transducer could ever recover anything. Chapter 4 will distinguish formal preservation from a defined recovery task.</w:t>
      </w:r>
    </w:p>
    <w:p>
      <w:pPr/>
      <w:r>
        <w:rPr/>
        <w:t>Cortês and Liddle relate the semiclassical Schwarzschild entropy and Hawking temperature:</w:t>
      </w:r>
    </w:p>
    <w:p>
      <w:pPr>
        <w:pStyle w:val="Equation"/>
      </w:pPr>
      <m:oMathPara>
        <m:oMath>
          <m:sSub>
            <m:e>
              <m:r>
                <m:rPr>
                  <m:sty m:val="i"/>
                </m:rPr>
                <w:rPr>
                  <w:rFonts w:ascii="Latin Modern Math" w:hAnsi="Latin Modern Math"/>
                </w:rPr>
                <m:t xml:space="preserve">T</m:t>
              </m:r>
            </m:e>
            <m:sub>
              <m:r>
                <m:rPr>
                  <m:nor m:val="1"/>
                  <m:sty m:val="p"/>
                </m:rPr>
                <w:rPr>
                  <w:rFonts w:ascii="Latin Modern Math" w:hAnsi="Latin Modern Math"/>
                </w:rPr>
                <m:t xml:space="preserve">H</m:t>
              </m:r>
            </m:sub>
          </m:sSub>
          <m:r>
            <m:rPr>
              <m:sty m:val="i"/>
            </m:rPr>
            <w:rPr>
              <w:rFonts w:ascii="Latin Modern Math" w:hAnsi="Latin Modern Math"/>
            </w:rPr>
            <m:t xml:space="preserve"> = </m:t>
          </m:r>
          <m:f>
            <m:num>
              <m:r>
                <m:rPr>
                  <m:sty m:val="i"/>
                </m:rPr>
                <w:rPr>
                  <w:rFonts w:ascii="Latin Modern Math" w:hAnsi="Latin Modern Math"/>
                </w:rPr>
                <m:t xml:space="preserve">ℏ</m:t>
              </m:r>
              <m:sSup>
                <m:e>
                  <m:r>
                    <m:rPr>
                      <m:sty m:val="i"/>
                    </m:rPr>
                    <w:rPr>
                      <w:rFonts w:ascii="Latin Modern Math" w:hAnsi="Latin Modern Math"/>
                    </w:rPr>
                    <m:t xml:space="preserve">c</m:t>
                  </m:r>
                </m:e>
                <m:sup>
                  <m:r>
                    <m:rPr>
                      <m:nor m:val="1"/>
                      <m:sty m:val="p"/>
                    </m:rPr>
                    <w:rPr>
                      <w:rFonts w:ascii="Latin Modern Math" w:hAnsi="Latin Modern Math"/>
                    </w:rPr>
                    <m:t xml:space="preserve">3</m:t>
                  </m:r>
                </m:sup>
              </m:sSup>
            </m:num>
            <m:den>
              <m:r>
                <m:rPr>
                  <m:sty m:val="i"/>
                </m:rPr>
                <w:rPr>
                  <w:rFonts w:ascii="Latin Modern Math" w:hAnsi="Latin Modern Math"/>
                </w:rPr>
                <m:t xml:space="preserve">8πG</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M</m:t>
              </m:r>
            </m:den>
          </m:f>
          <m:r>
            <m:rPr>
              <m:nor m:val="1"/>
              <m:sty m:val="p"/>
            </m:rPr>
            <w:rPr>
              <w:rFonts w:ascii="Latin Modern Math" w:hAnsi="Latin Modern Math"/>
            </w:rPr>
            <m:t xml:space="preserve">,  d</m:t>
          </m:r>
          <m:d>
            <m:dPr>
              <m:begChr m:val="("/>
              <m:endChr m:val=")"/>
            </m:dPr>
            <m:e>
              <m:r>
                <m:rPr>
                  <m:sty m:val="i"/>
                </m:rPr>
                <w:rPr>
                  <w:rFonts w:ascii="Latin Modern Math" w:hAnsi="Latin Modern Math"/>
                </w:rPr>
                <m:t xml:space="preserve">M</m:t>
              </m:r>
              <m:sSup>
                <m:e>
                  <m:r>
                    <m:rPr>
                      <m:sty m:val="i"/>
                    </m:rPr>
                    <w:rPr>
                      <w:rFonts w:ascii="Latin Modern Math" w:hAnsi="Latin Modern Math"/>
                    </w:rPr>
                    <m:t xml:space="preserve">c</m:t>
                  </m:r>
                </m:e>
                <m:sup>
                  <m:r>
                    <m:rPr>
                      <m:nor m:val="1"/>
                      <m:sty m:val="p"/>
                    </m:rPr>
                    <w:rPr>
                      <w:rFonts w:ascii="Latin Modern Math" w:hAnsi="Latin Modern Math"/>
                    </w:rPr>
                    <m:t xml:space="preserve">2</m:t>
                  </m:r>
                </m:sup>
              </m:sSup>
            </m:e>
          </m:d>
          <m:r>
            <m:rPr>
              <m:sty m:val="i"/>
            </m:rPr>
            <w:rPr>
              <w:rFonts w:ascii="Latin Modern Math" w:hAnsi="Latin Modern Math"/>
            </w:rPr>
            <m:t xml:space="preserve"> = </m:t>
          </m:r>
          <m:sSub>
            <m:e>
              <m:r>
                <m:rPr>
                  <m:sty m:val="i"/>
                </m:rPr>
                <w:rPr>
                  <w:rFonts w:ascii="Latin Modern Math" w:hAnsi="Latin Modern Math"/>
                </w:rPr>
                <m:t xml:space="preserve">T</m:t>
              </m:r>
            </m:e>
            <m:sub>
              <m:r>
                <m:rPr>
                  <m:nor m:val="1"/>
                  <m:sty m:val="p"/>
                </m:rPr>
                <w:rPr>
                  <w:rFonts w:ascii="Latin Modern Math" w:hAnsi="Latin Modern Math"/>
                </w:rPr>
                <m:t xml:space="preserve">H</m:t>
              </m:r>
            </m:sub>
          </m:sSub>
          <m:r>
            <m:rPr>
              <m:sty m:val="i"/>
            </m:rPr>
            <w:rPr>
              <w:rFonts w:ascii="Latin Modern Math" w:hAnsi="Latin Modern Math"/>
            </w:rPr>
            <m:t xml:space="preserve"> </m:t>
          </m:r>
          <m:sSub>
            <m:e>
              <m:r>
                <m:rPr>
                  <m:sty m:val="i"/>
                </m:rPr>
                <w:rPr>
                  <w:rFonts w:ascii="Latin Modern Math" w:hAnsi="Latin Modern Math"/>
                </w:rPr>
                <m:t xml:space="preserve">dS</m:t>
              </m:r>
            </m:e>
            <m:sub>
              <m:r>
                <m:rPr>
                  <m:nor m:val="1"/>
                  <m:sty m:val="p"/>
                </m:rPr>
                <w:rPr>
                  <w:rFonts w:ascii="Latin Modern Math" w:hAnsi="Latin Modern Math"/>
                </w:rPr>
                <m:t xml:space="preserve">BH</m:t>
              </m:r>
            </m:sub>
          </m:sSub>
          <m:r>
            <m:rPr>
              <m:nor m:val="1"/>
              <m:sty m:val="p"/>
            </m:rPr>
            <w:rPr>
              <w:rFonts w:ascii="Latin Modern Math" w:hAnsi="Latin Modern Math"/>
            </w:rPr>
            <m:t xml:space="preserve">.</m:t>
          </m:r>
        </m:oMath>
      </m:oMathPara>
    </w:p>
    <w:p>
      <w:pPr/>
      <w:r>
        <w:rPr/>
        <w:t xml:space="preserve">An infinitesimal entropy decrease with magnitude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xml:space="preserve"> corresponds to an energy decrease approximately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m:t>
        </m:r>
        <m:sSub>
          <m:e>
            <m:r>
              <m:rPr>
                <m:sty m:val="i"/>
              </m:rPr>
              <w:rPr>
                <w:rFonts w:ascii="Latin Modern Math" w:hAnsi="Latin Modern Math"/>
              </w:rPr>
              <m:t xml:space="preserve">T</m:t>
            </m:r>
          </m:e>
          <m:sub>
            <m:r>
              <m:rPr>
                <m:nor m:val="1"/>
                <m:sty m:val="p"/>
              </m:rPr>
              <w:rPr>
                <w:rFonts w:ascii="Latin Modern Math" w:hAnsi="Latin Modern Math"/>
              </w:rPr>
              <m:t xml:space="preserve">H</m:t>
            </m:r>
          </m:sub>
        </m:sSub>
        <m:r>
          <m:rPr>
            <m:nor m:val="1"/>
            <m:sty m:val="p"/>
          </m:rPr>
          <w:rPr>
            <w:rFonts w:ascii="Latin Modern Math" w:hAnsi="Latin Modern Math"/>
          </w:rPr>
          <m:t xml:space="preserve"> ln 2</m:t>
        </m:r>
      </m:oMath>
      <w:r>
        <w:rPr/>
        <w:t>. Their identification of this relation with Landauer saturation is theoretical. It concerns the black hole's entropy decrement, not demonstrated destruction of information in the complete black-hole-plus-radiation state. It is not experimental verification of black-hole evaporation or of the framework's scale invariance. [C28]</w:t>
      </w:r>
    </w:p>
    <w:p>
      <w:pPr/>
      <w:r>
        <w:rPr/>
        <w:t xml:space="preserve">This relation also supplies no valid ranking of a black hole, a neuron and a processor as alternative implementations of the same task. The old universal </w:t>
      </w:r>
      <m:oMath>
        <m:sSup>
          <m:e>
            <m:r>
              <m:rPr>
                <m:nor m:val="1"/>
                <m:sty m:val="p"/>
              </m:rPr>
              <w:rPr>
                <w:rFonts w:ascii="Latin Modern Math" w:hAnsi="Latin Modern Math"/>
              </w:rPr>
              <m:t xml:space="preserve">10</m:t>
            </m:r>
          </m:e>
          <m:sup>
            <m:r>
              <m:rPr>
                <m:nor m:val="1"/>
                <m:sty m:val="p"/>
              </m:rPr>
              <w:rPr>
                <w:rFonts w:ascii="Latin Modern Math" w:hAnsi="Latin Modern Math"/>
              </w:rPr>
              <m:t xml:space="preserve">6</m:t>
            </m:r>
          </m:sup>
        </m:sSup>
      </m:oMath>
      <w:r>
        <w:rPr/>
        <w:t xml:space="preserve"> and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m:t>
            </m:r>
          </m:sup>
        </m:sSup>
      </m:oMath>
      <w:r>
        <w:rPr/>
        <w:t xml:space="preserve"> substrate factors remain withdrawn, in continuity with the corrected earlier volumes. An erasure-energy reference does not make different physical activities functionally equivalent.</w:t>
      </w:r>
    </w:p>
    <w:p>
      <w:pPr/>
      <w:r>
        <w:rPr/>
        <w:t>The cosmological extensions require separate scrutiny. Trivedi's apparent-horizon calculation uses a particular quasi-local energy and horizon-thermodynamic identification and calls the resulting mismatch a cosmological information paradox. Odintsov, Paul and SenGupta analyze a different apparent-horizon and matter-temperature construction. Neither supplies an experimentally established exception to Landauer's principle or a general theorem identifying every horizon with a computer. Apparent and event horizons must not be interchanged. [C29, C30]</w:t>
      </w:r>
    </w:p>
    <w:p>
      <w:pPr>
        <w:pStyle w:val="Heading3"/>
      </w:pPr>
      <w:bookmarkStart w:id="347" w:name="v5_l272"/>
      <w:r>
        <w:rPr>
          <w:sz w:val="26"/>
        </w:rPr>
        <w:t>7 The framework position</w:t>
      </w:r>
      <w:bookmarkEnd w:id="347"/>
    </w:p>
    <w:p>
      <w:pPr/>
      <w:r>
        <w:rPr/>
        <w:t>We can be curious about what unknown constituents carry, what distant observers can reach and what black-hole calculations reveal about information. Curiosity does not require filling those unknowns with relational properties.</w:t>
      </w:r>
    </w:p>
    <w:p>
      <w:pPr/>
      <w:r>
        <w:rPr/>
        <w:t>The defensible program is conditional. Specify a cosmology when discussing a horizon; specify states and degrees of freedom when estimating entropy; specify an encoding, channel and recovery criterion when discussing a record. Measure the relational outcome separately. The dark sector supplies physical questions and constraints, not a validation of the framework.</w:t>
      </w:r>
    </w:p>
    <w:p>
      <w:pPr>
        <w:pStyle w:val="Heading3"/>
      </w:pPr>
      <w:bookmarkStart w:id="348" w:name="v5_l278"/>
      <w:r>
        <w:rPr>
          <w:sz w:val="26"/>
        </w:rPr>
        <w:t>What this chapter supports</w:t>
      </w:r>
      <w:bookmarkEnd w:id="348"/>
    </w:p>
    <w:p>
      <w:pPr/>
      <w:r>
        <w:rPr/>
        <w:t>Dark matter and dark energy are not a single entropy category. A future event horizon depends on future expansion, and current DESI evidence does not settle that future. Black-hole entropy is a powerful theoretical quantity whose relation to accessible information demands care.</w:t>
      </w:r>
    </w:p>
    <w:p>
      <w:pPr/>
      <w:r>
        <w:rPr/>
        <w:t>The next chapter asks what can be said about a Trinket's physical encoding and possible recovery without turning conditional information-theoretic results into a promise of an eternal relational record.</w:t>
      </w:r>
    </w:p>
    <w:p>
      <w:pPr>
        <w:pStyle w:val="Heading2"/>
        <w:pageBreakBefore/>
        <w:spacing w:before="280" w:after="220"/>
      </w:pPr>
      <w:bookmarkStart w:id="349" w:name="v5_l284"/>
      <w:r>
        <w:rPr>
          <w:sz w:val="36"/>
        </w:rPr>
        <w:t>Chapter 4 The Information Question</w:t>
      </w:r>
      <w:bookmarkEnd w:id="349"/>
    </w:p>
    <w:p>
      <w:pPr>
        <w:pStyle w:val="Heading3"/>
      </w:pPr>
      <w:bookmarkStart w:id="350" w:name="v5_l286"/>
      <w:r>
        <w:rPr>
          <w:sz w:val="26"/>
        </w:rPr>
        <w:t>Does relational information survive</w:t>
      </w:r>
      <w:bookmarkEnd w:id="350"/>
    </w:p>
    <w:p>
      <w:pPr/>
      <w:r>
        <w:rPr>
          <w:b/>
        </w:rPr>
        <w:t>Epistemic status.</w:t>
      </w:r>
      <w:r>
        <w:rPr/>
        <w:t xml:space="preserve"> Unitary evolution preserves the fine-grained von Neumann entropy of an isolated quantum system; this is a statement within the unitary description, not an observation of the entire universe. Hawking radiation is a semiclassical prediction. Page curves and island calculations supply substantial theoretical evidence for information-preserving evaporation in specified models, not an experimental demonstration for astrophysical black holes. Laboratory information thermodynamics and quantum Darwinism have their own tested systems and conditions. The proposed connection to relational meaning remains an open modeling question. [I01–I03, I08, I12]</w:t>
      </w:r>
    </w:p>
    <w:p>
      <w:pPr>
        <w:pStyle w:val="Heading3"/>
      </w:pPr>
      <w:bookmarkStart w:id="351" w:name="v5_l290"/>
      <w:r>
        <w:rPr>
          <w:sz w:val="26"/>
        </w:rPr>
        <w:t>1 The question</w:t>
      </w:r>
      <w:bookmarkEnd w:id="351"/>
    </w:p>
    <w:p>
      <w:pPr/>
      <w:r>
        <w:rPr/>
        <w:t>If a relational signal is carried by physical degrees of freedom, what can physics tell us about its survival? The question matters to the framework because it separates several things that everyday language bundles together: a physical state, a recoverable message, a durable record, and an act that somebody understands.</w:t>
      </w:r>
    </w:p>
    <w:p>
      <w:pPr/>
      <w:r>
        <w:rPr/>
        <w:t>The black-hole information problem makes the separation unusually sharp. Hawking's original calculation gives approximately thermal outgoing radiation. A description in which an initially pure state becomes only featureless thermal radiation at the end creates a conflict with unitary quantum mechanics. Page's analysis describes the radiation-entropy behavior expected in a unitary model; later gravitational calculations recover that behavior in important controlled settings. This is major progress. It does not yet supply an observed decoder for the radiation of a real evaporating black hole. [I01–I03]</w:t>
      </w:r>
    </w:p>
    <w:p>
      <w:pPr/>
      <w:r>
        <w:rPr/>
        <w:t xml:space="preserve">For an isolated quantum state evolving as </w:t>
      </w:r>
      <m:oMath>
        <m:sSup>
          <m:e>
            <m:r>
              <m:rPr>
                <m:sty m:val="i"/>
              </m:rPr>
              <w:rPr>
                <w:rFonts w:ascii="Latin Modern Math" w:hAnsi="Latin Modern Math"/>
              </w:rPr>
              <m:t xml:space="preserve">ρ</m:t>
            </m:r>
          </m:e>
          <m:sup>
            <m:r>
              <m:rPr>
                <m:nor m:val="1"/>
                <m:sty m:val="p"/>
              </m:rPr>
              <w:rPr>
                <w:rFonts w:ascii="Latin Modern Math" w:hAnsi="Latin Modern Math"/>
              </w:rPr>
              <m:t xml:space="preserve">′</m:t>
            </m:r>
          </m:sup>
        </m:sSup>
        <m:r>
          <m:rPr>
            <m:sty m:val="i"/>
          </m:rPr>
          <w:rPr>
            <w:rFonts w:ascii="Latin Modern Math" w:hAnsi="Latin Modern Math"/>
          </w:rPr>
          <m:t xml:space="preserve"> = Uρ</m:t>
        </m:r>
        <m:sSup>
          <m:e>
            <m:r>
              <m:rPr>
                <m:sty m:val="i"/>
              </m:rPr>
              <w:rPr>
                <w:rFonts w:ascii="Latin Modern Math" w:hAnsi="Latin Modern Math"/>
              </w:rPr>
              <m:t xml:space="preserve">U</m:t>
            </m:r>
          </m:e>
          <m:sup>
            <m:r>
              <m:rPr>
                <m:nor m:val="1"/>
                <m:sty m:val="p"/>
              </m:rPr>
              <w:rPr>
                <w:rFonts w:ascii="Latin Modern Math" w:hAnsi="Latin Modern Math"/>
              </w:rPr>
              <m:t xml:space="preserve">†</m:t>
            </m:r>
          </m:sup>
        </m:sSup>
      </m:oMath>
      <w:r>
        <w:rPr/>
        <w:t xml:space="preserve">, the eigenvalues of ρ do not change. Consequently, </w:t>
      </w:r>
      <m:oMath>
        <m:sSub>
          <m:e>
            <m:r>
              <m:rPr>
                <m:sty m:val="i"/>
              </m:rPr>
              <w:rPr>
                <w:rFonts w:ascii="Latin Modern Math" w:hAnsi="Latin Modern Math"/>
              </w:rPr>
              <m:t xml:space="preserve">S</m:t>
            </m:r>
          </m:e>
          <m:sub>
            <m:r>
              <m:rPr>
                <m:nor m:val="1"/>
                <m:sty m:val="p"/>
              </m:rPr>
              <w:rPr>
                <w:rFonts w:ascii="Latin Modern Math" w:hAnsi="Latin Modern Math"/>
              </w:rPr>
              <m:t xml:space="preserve">vN</m:t>
            </m:r>
          </m:sub>
        </m:sSub>
        <m:r>
          <m:rPr>
            <m:sty m:val="i"/>
          </m:rPr>
          <w:rPr>
            <w:rFonts w:ascii="Latin Modern Math" w:hAnsi="Latin Modern Math"/>
          </w:rPr>
          <m:t xml:space="preserve"> = −</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Tr</m:t>
        </m:r>
        <m:d>
          <m:dPr>
            <m:begChr m:val="("/>
            <m:endChr m:val=")"/>
          </m:dPr>
          <m:e>
            <m:r>
              <m:rPr>
                <m:sty m:val="i"/>
              </m:rPr>
              <w:rPr>
                <w:rFonts w:ascii="Latin Modern Math" w:hAnsi="Latin Modern Math"/>
              </w:rPr>
              <m:t xml:space="preserve">ρ</m:t>
            </m:r>
            <m:r>
              <m:rPr>
                <m:nor m:val="1"/>
                <m:sty m:val="p"/>
              </m:rPr>
              <w:rPr>
                <w:rFonts w:ascii="Latin Modern Math" w:hAnsi="Latin Modern Math"/>
              </w:rPr>
              <m:t xml:space="preserve"> ln </m:t>
            </m:r>
            <m:r>
              <m:rPr>
                <m:sty m:val="i"/>
              </m:rPr>
              <w:rPr>
                <w:rFonts w:ascii="Latin Modern Math" w:hAnsi="Latin Modern Math"/>
              </w:rPr>
              <m:t xml:space="preserve">ρ</m:t>
            </m:r>
          </m:e>
        </m:d>
      </m:oMath>
      <w:r>
        <w:rPr/>
        <w:t xml:space="preserve"> is unchanged. A subsystem's entropy can nevertheless change as correlations with other degrees of freedom change. Neither statement says that a person, a memory, or a relationship is preserved as a functioning organization.</w:t>
      </w:r>
    </w:p>
    <w:p>
      <w:pPr/>
      <w:r>
        <w:rPr/>
        <w:t>The framework can therefore retain its central question without presuming its answer. What must remain available for a physical trace to support a relational act again? Unitarity alone does not specify the receiver, the decoder, the resources, or the criterion of successful recovery.</w:t>
      </w:r>
    </w:p>
    <w:p>
      <w:pPr>
        <w:pStyle w:val="Heading3"/>
      </w:pPr>
      <w:bookmarkStart w:id="352" w:name="v5_l300"/>
      <w:r>
        <w:rPr>
          <w:sz w:val="26"/>
        </w:rPr>
        <w:t>2 What scrambling means</w:t>
      </w:r>
      <w:bookmarkEnd w:id="352"/>
    </w:p>
    <w:p>
      <w:pPr/>
      <w:r>
        <w:rPr/>
        <w:t>In a quantum-information setting, scrambling spreads initially localized information into correlations that are difficult to recover from small subsystems. The number of physical components need not itself become exponential; the Hilbert-space dimension of many components can grow exponentially with their number. The global evolution may remain unitary while a local observer loses access to the original message.</w:t>
      </w:r>
    </w:p>
    <w:p>
      <w:pPr/>
      <w:r>
        <w:rPr/>
        <w:t>How much radiation is needed for recovery depends on the model, the message, prior entanglement, and the observer's control. In Hayden and Preskill's idealized analysis, an old black hole can return newly added information after a relatively short delay when the observer controls the earlier radiation and the dynamics is suitably mixing. “More than half of all the radiation, in every case” is not the rule. Computational complexity can impose formidable additional obstacles, but a result about a specified decoding experiment is not a proof that every possible future instrument must fail. [I04, I05]</w:t>
      </w:r>
    </w:p>
    <w:p>
      <w:pPr/>
      <w:r>
        <w:rPr/>
        <w:t xml:space="preserve">The physical scales remain sobering. For a nonrotating, uncharged black hole of one solar mass, the semiclassical temperature is approximately 6.2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−8</m:t>
            </m:r>
          </m:sup>
        </m:sSup>
      </m:oMath>
      <w:r>
        <w:rPr/>
        <w:t xml:space="preserve"> K. A simple isolated blackbody estimate gives a lifetime near 2.1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67</m:t>
            </m:r>
          </m:sup>
        </m:sSup>
      </m:oMath>
      <w:r>
        <w:rPr/>
        <w:t xml:space="preserve"> years and scales as </w:t>
      </w:r>
      <m:oMath>
        <m:sSup>
          <m:e>
            <m:r>
              <m:rPr>
                <m:sty m:val="i"/>
              </m:rPr>
              <w:rPr>
                <w:rFonts w:ascii="Latin Modern Math" w:hAnsi="Latin Modern Math"/>
              </w:rPr>
              <m:t xml:space="preserve">M</m:t>
            </m:r>
          </m:e>
          <m:sup>
            <m:r>
              <m:rPr>
                <m:nor m:val="1"/>
                <m:sty m:val="p"/>
              </m:rPr>
              <w:rPr>
                <w:rFonts w:ascii="Latin Modern Math" w:hAnsi="Latin Modern Math"/>
              </w:rPr>
              <m:t xml:space="preserve">3</m:t>
            </m:r>
          </m:sup>
        </m:sSup>
      </m:oMath>
      <w:r>
        <w:rPr/>
        <w:t xml:space="preserve">. Under that same approximation a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m:t>
            </m:r>
          </m:sup>
        </m:sSup>
      </m:oMath>
      <w:r>
        <w:rPr/>
        <w:t xml:space="preserve">-solar-mass hole gives 2.1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94</m:t>
            </m:r>
          </m:sup>
        </m:sSup>
      </m:oMath>
      <w:r>
        <w:rPr/>
        <w:t xml:space="preserve"> years, not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97</m:t>
            </m:r>
          </m:sup>
        </m:sSup>
      </m:oMath>
      <w:r>
        <w:rPr/>
        <w:t>. Greybody emission, particle species, spin, accretion, and the surrounding radiation change the detailed evaporation history. These numbers describe an idealized calculation, not measured lifetimes. A present-day stellar-mass hole is colder than the cosmic microwave background, so the isolated-emitter calculation is not its present net energy balance. [I01; calculation I-CALC-01]</w:t>
      </w:r>
    </w:p>
    <w:p>
      <w:pPr/>
      <w:r>
        <w:rPr/>
        <w:t xml:space="preserve">The word “scrambling” also appears in Kolchinsky and Wolpert's classical information-and-viability framework, but it denotes a different operation. A fully decorrelating intervention replaces a joint distribution by </w:t>
      </w:r>
      <m:oMath>
        <m:r>
          <m:rPr>
            <m:sty m:val="i"/>
          </m:rPr>
          <w:rPr>
            <w:rFonts w:ascii="Latin Modern Math" w:hAnsi="Latin Modern Math"/>
          </w:rPr>
          <m:t xml:space="preserve">p</m:t>
        </m:r>
        <m:d>
          <m:dPr>
            <m:begChr m:val="("/>
            <m:endChr m:val=")"/>
          </m:dPr>
          <m:e>
            <m:sSub>
              <m:e>
                <m:r>
                  <m:rPr>
                    <m:sty m:val="i"/>
                  </m:rPr>
                  <w:rPr>
                    <w:rFonts w:ascii="Latin Modern Math" w:hAnsi="Latin Modern Math"/>
                  </w:rPr>
                  <m:t xml:space="preserve">X</m:t>
                </m:r>
              </m:e>
              <m:sub>
                <m:r>
                  <m:rPr>
                    <m:nor m:val="1"/>
                    <m:sty m:val="p"/>
                  </m:rPr>
                  <w:rPr>
                    <w:rFonts w:ascii="Latin Modern Math" w:hAnsi="Latin Modern Math"/>
                  </w:rPr>
                  <m:t xml:space="preserve">0</m:t>
                </m:r>
              </m:sub>
            </m:sSub>
          </m:e>
        </m:d>
        <m:r>
          <m:rPr>
            <m:sty m:val="i"/>
          </m:rPr>
          <w:rPr>
            <w:rFonts w:ascii="Latin Modern Math" w:hAnsi="Latin Modern Math"/>
          </w:rPr>
          <m:t xml:space="preserve">p</m:t>
        </m:r>
        <m:d>
          <m:dPr>
            <m:begChr m:val="("/>
            <m:endChr m:val=")"/>
          </m:dPr>
          <m:e>
            <m:sSub>
              <m:e>
                <m:r>
                  <m:rPr>
                    <m:sty m:val="i"/>
                  </m:rPr>
                  <w:rPr>
                    <w:rFonts w:ascii="Latin Modern Math" w:hAnsi="Latin Modern Math"/>
                  </w:rPr>
                  <m:t xml:space="preserve">Y</m:t>
                </m:r>
              </m:e>
              <m:sub>
                <m:r>
                  <m:rPr>
                    <m:nor m:val="1"/>
                    <m:sty m:val="p"/>
                  </m:rPr>
                  <w:rPr>
                    <w:rFonts w:ascii="Latin Modern Math" w:hAnsi="Latin Modern Math"/>
                  </w:rPr>
                  <m:t xml:space="preserve">0</m:t>
                </m:r>
              </m:sub>
            </m:sSub>
          </m:e>
        </m:d>
      </m:oMath>
      <w:r>
        <w:rPr/>
        <w:t>, eliminating the mutual information of those chosen variables. Quantum scrambling need not do that to the global state. The shared word does not establish a shared mechanism. [I06]</w:t>
      </w:r>
    </w:p>
    <w:p>
      <w:pPr/>
      <w:r>
        <w:rPr/>
        <w:t>Nor does the classical intervention identify the Shadow Economy automatically. A withheld message can retain strong correlations. To connect the framework's vocabulary to a semantic-information model, we would need defined system and environment states, a time horizon, an explicit viability criterion, and admissible interventions. The amount of information relevant to that criterion would then have to be calculated. It cannot be read off from the presence of grief, silence, or inaccessible radiation.</w:t>
      </w:r>
    </w:p>
    <w:p>
      <w:pPr/>
      <w:r>
        <w:rPr/>
        <w:t>This leaves a useful, narrower comparison. A message may remain physically encoded while becoming unavailable to a particular receiver. That comparison motivates research into relational access. It does not convert the framework's categories into established quantum-information states.</w:t>
      </w:r>
    </w:p>
    <w:p>
      <w:pPr>
        <w:pStyle w:val="Heading3"/>
      </w:pPr>
      <w:bookmarkStart w:id="353" w:name="v5_l314"/>
      <w:r>
        <w:rPr>
          <w:sz w:val="26"/>
        </w:rPr>
        <w:t>3 How some records become widely accessible</w:t>
      </w:r>
      <w:bookmarkEnd w:id="353"/>
    </w:p>
    <w:p>
      <w:pPr/>
      <w:r>
        <w:rPr/>
        <w:t>Quantum Darwinism studies how information about preferred, relatively stable states can be redundantly recorded in different fragments of an environment. Different observers may then learn about the same observable without each having to interrogate the original system. This is a proposed mechanism for robust, shared classical records. It is not the copying of arbitrary unknown quantum states. [I07]</w:t>
      </w:r>
    </w:p>
    <w:p>
      <w:pPr/>
      <w:r>
        <w:rPr/>
        <w:t>Zhu and colleagues tested signatures of this mechanism in engineered superconducting circuits, including branching structures and information available in environmental fragments. Their 2025 experiment supplies evidence within that preparation and measurement scheme; it does not demonstrate that every ordinary act of perception must satisfy one universal redundancy threshold. Earlier experiments also investigated quantum Darwinism in other platforms. [I08]</w:t>
      </w:r>
    </w:p>
    <w:p>
      <w:pPr/>
      <w:r>
        <w:rPr/>
        <w:t>Redundancy helps many independent observers obtain a stable record. It is not a necessary condition for every successful transmission: a receiver can read one deliberately delivered classical message. Information can also be protected, decoded collectively, or accessed by measuring the system directly. We should not identify all inaccessible information with “not yet broadcast,” or all accessible information with environmental redundancy.</w:t>
      </w:r>
    </w:p>
    <w:p>
      <w:pPr/>
      <w:r>
        <w:rPr/>
        <w:t>For the framework, the valuable question is practical. Which physical channels and records allow another person to recognize an act? A spoken word, a saved letter, and an unrecorded gesture have different transmission and persistence conditions. Quantum Darwinism offers a carefully defined example of accessibility emerging through system–environment interactions. It does not validate the proposed observation split or establish a physical threshold for Trinket formation. Those remain the framework's terms for a relational question.</w:t>
      </w:r>
    </w:p>
    <w:p>
      <w:pPr>
        <w:pStyle w:val="Heading3"/>
      </w:pPr>
      <w:bookmarkStart w:id="354" w:name="v5_l324"/>
      <w:r>
        <w:rPr>
          <w:sz w:val="26"/>
        </w:rPr>
        <w:t>4 Bounds on entropy and communication</w:t>
      </w:r>
      <w:bookmarkEnd w:id="354"/>
    </w:p>
    <w:p>
      <w:pPr/>
      <w:r>
        <w:rPr/>
        <w:t>The Bekenstein bound and the Bekenstein–Hawking entropy are related ideas, not interchangeable formulas. In its familiar form for an appropriately defined bounded system, the former is</w:t>
      </w:r>
    </w:p>
    <w:p>
      <w:pPr>
        <w:pStyle w:val="Equation"/>
      </w:pPr>
      <m:oMathPara>
        <m:oMath>
          <m:r>
            <m:rPr>
              <m:sty m:val="i"/>
            </m:rPr>
            <w:rPr>
              <w:rFonts w:ascii="Latin Modern Math" w:hAnsi="Latin Modern Math"/>
            </w:rPr>
            <m:t xml:space="preserve">S ≤ </m:t>
          </m:r>
          <m:f>
            <m:num>
              <m:r>
                <m:rPr>
                  <m:sty m:val="i"/>
                </m:rPr>
                <w:rPr>
                  <w:rFonts w:ascii="Latin Modern Math" w:hAnsi="Latin Modern Math"/>
                </w:rPr>
                <m:t xml:space="preserve">2π</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ER</m:t>
              </m:r>
            </m:num>
            <m:den>
              <m:r>
                <m:rPr>
                  <m:sty m:val="i"/>
                </m:rPr>
                <w:rPr>
                  <w:rFonts w:ascii="Latin Modern Math" w:hAnsi="Latin Modern Math"/>
                </w:rPr>
                <m:t xml:space="preserve">ħc</m:t>
              </m:r>
            </m:den>
          </m:f>
          <m:r>
            <m:rPr>
              <m:nor m:val="1"/>
              <m:sty m:val="p"/>
            </m:rPr>
            <w:rPr>
              <w:rFonts w:ascii="Latin Modern Math" w:hAnsi="Latin Modern Math"/>
            </w:rPr>
            <m:t xml:space="preserve">.</m:t>
          </m:r>
        </m:oMath>
      </m:oMathPara>
    </w:p>
    <w:p>
      <w:pPr/>
      <w:r>
        <w:rPr/>
        <w:t xml:space="preserve">Here E is the system's total energy and R its circumscribing radius; the formulation and domain of validity matter, especially in quantum field theory and gravity. Black-hole entropy instead takes the form </w:t>
      </w:r>
      <m:oMath>
        <m:sSub>
          <m:e>
            <m:r>
              <m:rPr>
                <m:sty m:val="i"/>
              </m:rPr>
              <w:rPr>
                <w:rFonts w:ascii="Latin Modern Math" w:hAnsi="Latin Modern Math"/>
              </w:rPr>
              <m:t xml:space="preserve">S</m:t>
            </m:r>
          </m:e>
          <m:sub>
            <m:r>
              <m:rPr>
                <m:nor m:val="1"/>
                <m:sty m:val="p"/>
              </m:rPr>
              <w:rPr>
                <w:rFonts w:ascii="Latin Modern Math" w:hAnsi="Latin Modern Math"/>
              </w:rPr>
              <m:t xml:space="preserve">BH</m:t>
            </m:r>
          </m:sub>
        </m:sSub>
        <m:r>
          <m:rPr>
            <m:sty m:val="i"/>
          </m:rPr>
          <w:rPr>
            <w:rFonts w:ascii="Latin Modern Math" w:hAnsi="Latin Modern Math"/>
          </w:rPr>
          <m:t xml:space="preserve"> = </m:t>
        </m:r>
        <m:f>
          <m:num>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A</m:t>
            </m:r>
          </m:num>
          <m:den>
            <m:r>
              <m:rPr>
                <m:sty m:val="i"/>
              </m:rPr>
              <w:rPr>
                <w:rFonts w:ascii="Latin Modern Math" w:hAnsi="Latin Modern Math"/>
              </w:rPr>
              <m:t xml:space="preserve">4</m:t>
            </m:r>
            <m:sSubSup>
              <m:e>
                <m:r>
                  <m:rPr>
                    <m:sty m:val="i"/>
                  </m:rPr>
                  <w:rPr>
                    <w:rFonts w:ascii="Latin Modern Math" w:hAnsi="Latin Modern Math"/>
                  </w:rPr>
                  <m:t xml:space="preserve">ℓ</m:t>
                </m:r>
              </m:e>
              <m:sub>
                <m:r>
                  <m:rPr>
                    <m:nor m:val="1"/>
                    <m:sty m:val="p"/>
                  </m:rPr>
                  <w:rPr>
                    <w:rFonts w:ascii="Latin Modern Math" w:hAnsi="Latin Modern Math"/>
                  </w:rPr>
                  <m:t xml:space="preserve">P</m:t>
                </m:r>
              </m:sub>
              <m:sup>
                <m:r>
                  <m:rPr>
                    <m:nor m:val="1"/>
                    <m:sty m:val="p"/>
                  </m:rPr>
                  <w:rPr>
                    <w:rFonts w:ascii="Latin Modern Math" w:hAnsi="Latin Modern Math"/>
                  </w:rPr>
                  <m:t xml:space="preserve">2</m:t>
                </m:r>
              </m:sup>
            </m:sSubSup>
          </m:den>
        </m:f>
      </m:oMath>
      <w:r>
        <w:rPr/>
        <w:t xml:space="preserve">, where </w:t>
      </w:r>
      <m:oMath>
        <m:sSubSup>
          <m:e>
            <m:r>
              <m:rPr>
                <m:sty m:val="i"/>
              </m:rPr>
              <w:rPr>
                <w:rFonts w:ascii="Latin Modern Math" w:hAnsi="Latin Modern Math"/>
              </w:rPr>
              <m:t xml:space="preserve">ℓ</m:t>
            </m:r>
          </m:e>
          <m:sub>
            <m:r>
              <m:rPr>
                <m:nor m:val="1"/>
                <m:sty m:val="p"/>
              </m:rPr>
              <w:rPr>
                <w:rFonts w:ascii="Latin Modern Math" w:hAnsi="Latin Modern Math"/>
              </w:rPr>
              <m:t xml:space="preserve">P</m:t>
            </m:r>
          </m:sub>
          <m:sup>
            <m:r>
              <m:rPr>
                <m:nor m:val="1"/>
                <m:sty m:val="p"/>
              </m:rPr>
              <w:rPr>
                <w:rFonts w:ascii="Latin Modern Math" w:hAnsi="Latin Modern Math"/>
              </w:rPr>
              <m:t xml:space="preserve">2</m:t>
            </m:r>
          </m:sup>
        </m:sSubSup>
        <m:r>
          <m:rPr>
            <m:sty m:val="i"/>
          </m:rPr>
          <w:rPr>
            <w:rFonts w:ascii="Latin Modern Math" w:hAnsi="Latin Modern Math"/>
          </w:rPr>
          <m:t xml:space="preserve"> = </m:t>
        </m:r>
        <m:f>
          <m:num>
            <m:r>
              <m:rPr>
                <m:sty m:val="i"/>
              </m:rPr>
              <w:rPr>
                <w:rFonts w:ascii="Latin Modern Math" w:hAnsi="Latin Modern Math"/>
              </w:rPr>
              <m:t xml:space="preserve">G ħ</m:t>
            </m:r>
          </m:num>
          <m:den>
            <m:sSup>
              <m:e>
                <m:r>
                  <m:rPr>
                    <m:sty m:val="i"/>
                  </m:rPr>
                  <w:rPr>
                    <w:rFonts w:ascii="Latin Modern Math" w:hAnsi="Latin Modern Math"/>
                  </w:rPr>
                  <m:t xml:space="preserve">c</m:t>
                </m:r>
              </m:e>
              <m:sup>
                <m:r>
                  <m:rPr>
                    <m:nor m:val="1"/>
                    <m:sty m:val="p"/>
                  </m:rPr>
                  <w:rPr>
                    <w:rFonts w:ascii="Latin Modern Math" w:hAnsi="Latin Modern Math"/>
                  </w:rPr>
                  <m:t xml:space="preserve">3</m:t>
                </m:r>
              </m:sup>
            </m:sSup>
          </m:den>
        </m:f>
      </m:oMath>
      <w:r>
        <w:rPr/>
        <w:t xml:space="preserve">. Dividing an entropy by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xml:space="preserve"> expresses the corresponding entropy in bits. This conversion does not turn it into a count of meaningful messages, memories, or future acts. [I09]</w:t>
      </w:r>
    </w:p>
    <w:p>
      <w:pPr/>
      <w:r>
        <w:rPr/>
        <w:t xml:space="preserve">For an uncharged Kerr black hole at fixed mass M, write </w:t>
      </w:r>
      <m:oMath>
        <m:r>
          <m:rPr>
            <m:sty m:val="i"/>
          </m:rPr>
          <w:rPr>
            <w:rFonts w:ascii="Latin Modern Math" w:hAnsi="Latin Modern Math"/>
          </w:rPr>
          <m:t xml:space="preserve">χ = </m:t>
        </m:r>
        <m:f>
          <m:num>
            <m:r>
              <m:rPr>
                <m:sty m:val="i"/>
              </m:rPr>
              <w:rPr>
                <w:rFonts w:ascii="Latin Modern Math" w:hAnsi="Latin Modern Math"/>
              </w:rPr>
              <m:t xml:space="preserve">Jc</m:t>
            </m:r>
          </m:num>
          <m:den>
            <m:r>
              <m:rPr>
                <m:sty m:val="i"/>
              </m:rPr>
              <w:rPr>
                <w:rFonts w:ascii="Latin Modern Math" w:hAnsi="Latin Modern Math"/>
              </w:rPr>
              <m:t xml:space="preserve">G</m:t>
            </m:r>
            <m:sSup>
              <m:e>
                <m:r>
                  <m:rPr>
                    <m:sty m:val="i"/>
                  </m:rPr>
                  <w:rPr>
                    <w:rFonts w:ascii="Latin Modern Math" w:hAnsi="Latin Modern Math"/>
                  </w:rPr>
                  <m:t xml:space="preserve">M</m:t>
                </m:r>
              </m:e>
              <m:sup>
                <m:r>
                  <m:rPr>
                    <m:nor m:val="1"/>
                    <m:sty m:val="p"/>
                  </m:rPr>
                  <w:rPr>
                    <w:rFonts w:ascii="Latin Modern Math" w:hAnsi="Latin Modern Math"/>
                  </w:rPr>
                  <m:t xml:space="preserve">2</m:t>
                </m:r>
              </m:sup>
            </m:sSup>
          </m:den>
        </m:f>
      </m:oMath>
      <w:r>
        <w:rPr/>
        <w:t xml:space="preserve">, with </w:t>
      </w:r>
      <m:oMath>
        <m:d>
          <m:dPr>
            <m:begChr m:val="|"/>
            <m:endChr m:val="|"/>
          </m:dPr>
          <m:e>
            <m:r>
              <m:rPr>
                <m:sty m:val="i"/>
              </m:rPr>
              <w:rPr>
                <w:rFonts w:ascii="Latin Modern Math" w:hAnsi="Latin Modern Math"/>
              </w:rPr>
              <m:t xml:space="preserve">χ</m:t>
            </m:r>
          </m:e>
        </m:d>
        <m:r>
          <m:rPr>
            <m:sty m:val="i"/>
          </m:rPr>
          <w:rPr>
            <w:rFonts w:ascii="Latin Modern Math" w:hAnsi="Latin Modern Math"/>
          </w:rPr>
          <m:t xml:space="preserve"> ≤ </m:t>
        </m:r>
        <m:r>
          <m:rPr>
            <m:nor m:val="1"/>
            <m:sty m:val="p"/>
          </m:rPr>
          <w:rPr>
            <w:rFonts w:ascii="Latin Modern Math" w:hAnsi="Latin Modern Math"/>
          </w:rPr>
          <m:t xml:space="preserve">1</m:t>
        </m:r>
      </m:oMath>
      <w:r>
        <w:rPr/>
        <w:t xml:space="preserve">. Its entropy is </w:t>
      </w:r>
      <m:oMath>
        <m:sSub>
          <m:e>
            <m:r>
              <m:rPr>
                <m:sty m:val="i"/>
              </m:rPr>
              <w:rPr>
                <w:rFonts w:ascii="Latin Modern Math" w:hAnsi="Latin Modern Math"/>
              </w:rPr>
              <m:t xml:space="preserve">S</m:t>
            </m:r>
          </m:e>
          <m:sub>
            <m:r>
              <m:rPr>
                <m:nor m:val="1"/>
                <m:sty m:val="p"/>
              </m:rPr>
              <w:rPr>
                <w:rFonts w:ascii="Latin Modern Math" w:hAnsi="Latin Modern Math"/>
              </w:rPr>
              <m:t xml:space="preserve">Kerr</m:t>
            </m:r>
          </m:sub>
        </m:sSub>
        <m:r>
          <m:rPr>
            <m:sty m:val="i"/>
          </m:rPr>
          <w:rPr>
            <w:rFonts w:ascii="Latin Modern Math" w:hAnsi="Latin Modern Math"/>
          </w:rPr>
          <m:t xml:space="preserve"> = </m:t>
        </m:r>
        <m:f>
          <m:num>
            <m:r>
              <m:rPr>
                <m:sty m:val="i"/>
              </m:rPr>
              <w:rPr>
                <w:rFonts w:ascii="Latin Modern Math" w:hAnsi="Latin Modern Math"/>
              </w:rPr>
              <m:t xml:space="preserve">2π</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G</m:t>
            </m:r>
            <m:sSup>
              <m:e>
                <m:r>
                  <m:rPr>
                    <m:sty m:val="i"/>
                  </m:rPr>
                  <w:rPr>
                    <w:rFonts w:ascii="Latin Modern Math" w:hAnsi="Latin Modern Math"/>
                  </w:rPr>
                  <m:t xml:space="preserve">M</m:t>
                </m:r>
              </m:e>
              <m:sup>
                <m:r>
                  <m:rPr>
                    <m:nor m:val="1"/>
                    <m:sty m:val="p"/>
                  </m:rPr>
                  <w:rPr>
                    <w:rFonts w:ascii="Latin Modern Math" w:hAnsi="Latin Modern Math"/>
                  </w:rPr>
                  <m:t xml:space="preserve">2</m:t>
                </m:r>
              </m:sup>
            </m:sSup>
            <m:d>
              <m:dPr>
                <m:begChr m:val="["/>
                <m:endChr m:val="]"/>
              </m:dPr>
              <m:e>
                <m:r>
                  <m:rPr>
                    <m:nor m:val="1"/>
                    <m:sty m:val="p"/>
                  </m:rPr>
                  <w:rPr>
                    <w:rFonts w:ascii="Latin Modern Math" w:hAnsi="Latin Modern Math"/>
                  </w:rPr>
                  <m:t xml:space="preserve">1</m:t>
                </m:r>
                <m:r>
                  <m:rPr>
                    <m:sty m:val="i"/>
                  </m:rPr>
                  <w:rPr>
                    <w:rFonts w:ascii="Latin Modern Math" w:hAnsi="Latin Modern Math"/>
                  </w:rPr>
                  <m:t xml:space="preserve"> + </m:t>
                </m:r>
                <m:rad>
                  <m:radPr>
                    <m:degHide m:val="1"/>
                  </m:radPr>
                  <m:deg/>
                  <m:e>
                    <m:r>
                      <m:rPr>
                        <m:nor m:val="1"/>
                        <m:sty m:val="p"/>
                      </m:rPr>
                      <w:rPr>
                        <w:rFonts w:ascii="Latin Modern Math" w:hAnsi="Latin Modern Math"/>
                      </w:rPr>
                      <m:t xml:space="preserve">1</m:t>
                    </m:r>
                    <m:r>
                      <m:rPr>
                        <m:sty m:val="i"/>
                      </m:rPr>
                      <w:rPr>
                        <w:rFonts w:ascii="Latin Modern Math" w:hAnsi="Latin Modern Math"/>
                      </w:rPr>
                      <m:t xml:space="preserve"> − </m:t>
                    </m:r>
                    <m:sSup>
                      <m:e>
                        <m:r>
                          <m:rPr>
                            <m:sty m:val="i"/>
                          </m:rPr>
                          <w:rPr>
                            <w:rFonts w:ascii="Latin Modern Math" w:hAnsi="Latin Modern Math"/>
                          </w:rPr>
                          <m:t xml:space="preserve">χ</m:t>
                        </m:r>
                      </m:e>
                      <m:sup>
                        <m:r>
                          <m:rPr>
                            <m:nor m:val="1"/>
                            <m:sty m:val="p"/>
                          </m:rPr>
                          <w:rPr>
                            <w:rFonts w:ascii="Latin Modern Math" w:hAnsi="Latin Modern Math"/>
                          </w:rPr>
                          <m:t xml:space="preserve">2</m:t>
                        </m:r>
                      </m:sup>
                    </m:sSup>
                  </m:e>
                </m:rad>
              </m:e>
            </m:d>
          </m:num>
          <m:den>
            <m:r>
              <m:rPr>
                <m:sty m:val="i"/>
              </m:rPr>
              <w:rPr>
                <w:rFonts w:ascii="Latin Modern Math" w:hAnsi="Latin Modern Math"/>
              </w:rPr>
              <m:t xml:space="preserve">ħc</m:t>
            </m:r>
          </m:den>
        </m:f>
      </m:oMath>
      <w:r>
        <w:rPr/>
        <w:t>, finite throughout that interval and no larger than the Schwarzschild value at the same mass. This is a statement about that stationary black-hole family. It does not prove that the whole universe has finite total entropy or that a region's entropy is available energy. [I01, I32; calculation I-CALC-02]</w:t>
      </w:r>
    </w:p>
    <w:p>
      <w:pPr/>
      <w:r>
        <w:rPr/>
        <w:t>Hayden and Wang sharpen the operational question: what communication task is being bounded, and whose resources are restricted? In their Unruh-channel model, the decoder's Bekenstein constraint bounds ordinary classical and quantum capacities but permits a different zero-bit resource behavior. The published 2025 version also shows that suitable restrictions on both encoder and decoder constrain zero-bit capacity. The result is not an unrestricted loophole that lets a finite civilization store or recover unlimited information. [I10]</w:t>
      </w:r>
    </w:p>
    <w:p>
      <w:pPr/>
      <w:r>
        <w:rPr/>
        <w:t>The framework should take the methodological lesson. Name the resource and the task before naming the ceiling. Quantum resources may require descriptions beyond its current classical signaling vocabulary. DFQ-005 can remain a frontier question, but neither the zero-bit result nor a black-hole entropy formula answers it.</w:t>
      </w:r>
    </w:p>
    <w:p>
      <w:pPr>
        <w:pStyle w:val="Heading3"/>
      </w:pPr>
      <w:bookmarkStart w:id="355" w:name="v5_l338"/>
      <w:r>
        <w:rPr>
          <w:sz w:val="26"/>
        </w:rPr>
        <w:t>5 Landauer under stated conditions</w:t>
      </w:r>
      <w:bookmarkEnd w:id="355"/>
    </w:p>
    <w:p>
      <w:pPr/>
      <w:r>
        <w:rPr/>
        <w:t xml:space="preserve">Landauer's principle connects information processing with physical thermodynamics. The familiar mean-heat bound </w:t>
      </w:r>
      <m:oMath>
        <m:d>
          <m:dPr>
            <m:begChr m:val="⟨"/>
            <m:endChr m:val="⟩"/>
          </m:dPr>
          <m:e>
            <m:sSub>
              <m:e>
                <m:r>
                  <m:rPr>
                    <m:sty m:val="i"/>
                  </m:rPr>
                  <w:rPr>
                    <w:rFonts w:ascii="Latin Modern Math" w:hAnsi="Latin Modern Math"/>
                  </w:rPr>
                  <m:t xml:space="preserve">Q</m:t>
                </m:r>
              </m:e>
              <m:sub>
                <m:r>
                  <m:rPr>
                    <m:nor m:val="1"/>
                    <m:sty m:val="p"/>
                  </m:rPr>
                  <w:rPr>
                    <w:rFonts w:ascii="Latin Modern Math" w:hAnsi="Latin Modern Math"/>
                  </w:rPr>
                  <m:t xml:space="preserve">bath</m:t>
                </m:r>
              </m:sub>
            </m:sSub>
          </m:e>
        </m:d>
        <m:r>
          <m:rPr>
            <m:sty m:val="i"/>
          </m:rPr>
          <w:rPr>
            <w:rFonts w:ascii="Latin Modern Math" w:hAnsi="Latin Modern Math"/>
          </w:rPr>
          <m:t xml:space="preserve"> ≥ </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T</m:t>
        </m:r>
        <m:r>
          <m:rPr>
            <m:nor m:val="1"/>
            <m:sty m:val="p"/>
          </m:rPr>
          <w:rPr>
            <w:rFonts w:ascii="Latin Modern Math" w:hAnsi="Latin Modern Math"/>
          </w:rPr>
          <m:t xml:space="preserve"> ln 2</m:t>
        </m:r>
      </m:oMath>
      <w:r>
        <w:rPr/>
        <w:t xml:space="preserve"> applies to resetting an initially unbiased bit to a definite state in a symmetric memory with equal intrastate entropies and unchanged endpoint energetics, using an initially uncorrelated thermal reservoir and no correlated side information. Equality is an ideal reversible limit, not a guaranteed cost of an ordinary operation. At 300 K, the reference energy is approximately 2.87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−21</m:t>
            </m:r>
          </m:sup>
        </m:sSup>
      </m:oMath>
      <w:r>
        <w:rPr/>
        <w:t xml:space="preserve"> J. [I11, I12; calculation I-CALC-03]</w:t>
      </w:r>
    </w:p>
    <w:p>
      <w:pPr/>
      <w:r>
        <w:rPr/>
        <w:t>Two distinctions are essential. First, the bath's entropy increase is not identical to total entropy production: in an ideal reversible reset the memory's entropy decrease balances the bath's increase. Second, “one bit operation” need not erase one unbiased bit. Initial bias, retained inputs, correlations, available side information, finite reservoirs, and the specified physical protocol matter. Quantum side information can alter an erasure work cost without supplying a cyclic violation of the second law. [I12–I14]</w:t>
      </w:r>
    </w:p>
    <w:p>
      <w:pPr/>
      <w:r>
        <w:rPr/>
        <w:t>The experiments are valuable precisely because they specify what is done. Bérut and colleagues studied a colloidal memory; Hong and colleagues studied intrinsic nanomagnet reset dissipation, reporting consistency with the bound within their uncertainty and distinguishing that dissipation from actuation overhead. Gaudenzi and colleagues investigated a molecular-spin memory. Aimet, Tajik and colleagues studied information-thermodynamic terms after a quench in an ultracold Bose-gas simulator. These are complementary tests, not a completed experimental survey of every physical scale. [I15–I18]</w:t>
      </w:r>
    </w:p>
    <w:p>
      <w:pPr/>
      <w:r>
        <w:rPr/>
        <w:t xml:space="preserve">Black holes enter through theory. Cortês and Liddle identify the differential decrease of Schwarzschild black-hole entropy with an energy release equal to </w:t>
      </w:r>
      <m:oMath>
        <m:sSub>
          <m:e>
            <m:r>
              <m:rPr>
                <m:sty m:val="i"/>
              </m:rPr>
              <w:rPr>
                <w:rFonts w:ascii="Latin Modern Math" w:hAnsi="Latin Modern Math"/>
              </w:rPr>
              <m:t xml:space="preserve">T</m:t>
            </m:r>
          </m:e>
          <m:sub>
            <m:r>
              <m:rPr>
                <m:nor m:val="1"/>
                <m:sty m:val="p"/>
              </m:rPr>
              <w:rPr>
                <w:rFonts w:ascii="Latin Modern Math" w:hAnsi="Latin Modern Math"/>
              </w:rPr>
              <m:t xml:space="preserve">H</m:t>
            </m:r>
          </m:sub>
        </m:sSub>
      </m:oMath>
      <w:r>
        <w:rPr/>
        <w:t xml:space="preserve"> times that decrease. Expressed per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xml:space="preserve"> of lost black-hole entropy, the relation has the Landauer form. Their result is semiclassical and theoretical; it is not experimental verification of black-hole evaporation, and it does not settle whether the outgoing radiation preserves the full quantum information. Laboratory analogue-horizon observations concern other physical systems. [I19, I31]</w:t>
      </w:r>
    </w:p>
    <w:p>
      <w:pPr/>
      <w:r>
        <w:rPr/>
        <w:t>Cosmological extensions require their own assumptions about horizons, temperature, energy, and entropy. The apparent-horizon treatments by Odintsov and colleagues and by Trivedi should be read as specific theoretical constructions, not as a proof that every cosmic process is an unbiased-bit reset. [I20, I34]</w:t>
      </w:r>
    </w:p>
    <w:p>
      <w:pPr/>
      <w:r>
        <w:rPr/>
        <w:t>The same caution applies to the transducer. Naming its stages selection, compression, and structuring does not identify physical erasures, establish a numerical Landauer cost, or prove scale invariance. The earlier biological and silicon reference multiples and the proposed relational efficiency surface are not reinstated here. Shared physical laws are constraints on a future model, not evidence that this particular model has already been derived.</w:t>
      </w:r>
    </w:p>
    <w:p>
      <w:pPr>
        <w:pStyle w:val="Heading3"/>
      </w:pPr>
      <w:bookmarkStart w:id="356" w:name="v5_l352"/>
      <w:r>
        <w:rPr>
          <w:sz w:val="26"/>
        </w:rPr>
        <w:t>6 Preservation without a guaranteed receiver</w:t>
      </w:r>
      <w:bookmarkEnd w:id="356"/>
    </w:p>
    <w:p>
      <w:pPr/>
      <w:r>
        <w:rPr/>
        <w:t>The distinction this chapter needs is now more modest and more useful. Microscopic reversibility, preservation of a message in a chosen code, continued storage of a readable record, and persistence of relational significance are different claims. None can stand in for the others without a model and evidence.</w:t>
      </w:r>
    </w:p>
    <w:p>
      <w:pPr/>
      <w:r>
        <w:rPr/>
        <w:t>Layer A may continue to name the physical activity associated with an act, and Layer B the relational recognition the framework seeks to describe. But Layer A is not a permanent, separately readable entry in a universal entropy ledger. Entropy production is not an archive with an address for every event. Heat, work, stored records, and correlations have to be accounted for separately.</w:t>
      </w:r>
    </w:p>
    <w:p>
      <w:pPr/>
      <w:r>
        <w:rPr/>
        <w:t>Layer B also need not disappear whenever the initial signal disperses. A receiver may retain a memory; a community may preserve a record; someone may act on an earlier message. Conversely, preserving a physical trace need not preserve the capacity to recognize it. The framework should ask what survives, for whom, through which channel, and for how long. There is no single scrambling timescale for relational meaning, and no basis here for declaring unrecorded neural states instantaneously erased.</w:t>
      </w:r>
    </w:p>
    <w:p>
      <w:pPr/>
      <w:r>
        <w:rPr/>
        <w:t>The four populations of the gap remain human examples rather than cosmological classifications. Unreciprocated love asks whether an act was recognized or returned. Grief involves the loss of a person and changes in relationships, not a demonstrated global decorrelation operation. Prayer raises a question about an intended receiver that this physics cannot decide. Unwitnessed care may have consequences even when nobody identifies its source. These cases can illuminate the difference between activity and recognition without being assigned quantum states or entropy values.</w:t>
      </w:r>
    </w:p>
    <w:p>
      <w:pPr/>
      <w:r>
        <w:rPr/>
        <w:t>The question survives the correction: how can an act matter when its intended receiver does not receive it? Physics can constrain the carriers and costs. It does not settle every meaning of “matter.”</w:t>
      </w:r>
    </w:p>
    <w:p>
      <w:pPr>
        <w:pStyle w:val="Heading3"/>
      </w:pPr>
      <w:bookmarkStart w:id="357" w:name="v5_l364"/>
      <w:r>
        <w:rPr>
          <w:sz w:val="26"/>
        </w:rPr>
        <w:t>7 The capture surface</w:t>
      </w:r>
      <w:bookmarkEnd w:id="357"/>
    </w:p>
    <w:p>
      <w:pPr/>
      <w:r>
        <w:rPr/>
        <w:t>“Love is never truly lost” remains a tempting translation of information preservation. The translation promises more than the physics supplies. A unitary description does not establish an afterlife, restore a relationship, or preserve personal experience. Equally, these calculations do not disprove every philosophical or religious account of survival. The proposed conclusion is narrower: the cited physics does not warrant that reassurance.</w:t>
      </w:r>
    </w:p>
    <w:p>
      <w:pPr/>
      <w:r>
        <w:rPr/>
        <w:t>“The universe remembers every act of love” is a metaphor, not a technical consequence of unitarity. Memory ordinarily involves a usable record and a way to retrieve it. A globally distinguishable physical state need not provide either to an observer. The dissolved grain of salt remains an image of lost organization; it is not a model of quantum information or a proof about human identity.</w:t>
      </w:r>
    </w:p>
    <w:p>
      <w:pPr/>
      <w:r>
        <w:rPr/>
        <w:t>“Meaning is what the universe spends entropy to produce” makes a further, unsupported move. The second law does not command each process to generate a positive amount of entropy, specify what that process is for, or measure the value of its outcome. The framework can ask how physical resources support connection. It cannot infer a cosmic purpose from a dissipation inequality.</w:t>
      </w:r>
    </w:p>
    <w:p>
      <w:pPr/>
      <w:r>
        <w:rPr>
          <w:b/>
        </w:rPr>
        <w:t>SupoRel boundary.</w:t>
      </w:r>
      <w:r>
        <w:rPr/>
        <w:t xml:space="preserve"> State the physical claim with its conditions, identify the extra interpretation, and keep the reader free to judge that interpretation. Neither hope nor its rejection should be presented as an experimental result of black-hole physics.</w:t>
      </w:r>
    </w:p>
    <w:p>
      <w:pPr>
        <w:pStyle w:val="Heading3"/>
      </w:pPr>
      <w:bookmarkStart w:id="358" w:name="v5_l374"/>
      <w:r>
        <w:rPr>
          <w:sz w:val="26"/>
        </w:rPr>
        <w:t>What this chapter has established</w:t>
      </w:r>
      <w:bookmarkEnd w:id="358"/>
    </w:p>
    <w:p>
      <w:pPr/>
      <w:r>
        <w:rPr/>
        <w:t>Theoretical information preservation does not guarantee operational access, durable memory, or continuing relational meaning. Quantum scrambling, classical decorrelation interventions, and redundant environmental records describe distinct structures. Entropy bounds require specified systems and resources. Landauer's principle applies to defined processes; it supplies neither a universal charge per cognitive event nor a derivation of the transducer model.</w:t>
      </w:r>
    </w:p>
    <w:p>
      <w:pPr/>
      <w:r>
        <w:rPr/>
        <w:t>The framework's contribution here is a question: which physical and relational conditions allow an act to remain recognizable? Its answer still requires work. Chapter 5 turns to ways an operating window might be extended without treating a physical constraint as either a promise of immortality or a verdict against every improvement.</w:t>
      </w:r>
    </w:p>
    <w:p>
      <w:pPr>
        <w:pStyle w:val="Heading2"/>
        <w:pageBreakBefore/>
        <w:spacing w:before="280" w:after="220"/>
      </w:pPr>
      <w:bookmarkStart w:id="359" w:name="v5_l380"/>
      <w:r>
        <w:rPr>
          <w:sz w:val="36"/>
        </w:rPr>
        <w:t>Chapter 5 The Budget Cannot Be Beaten</w:t>
      </w:r>
      <w:bookmarkEnd w:id="359"/>
    </w:p>
    <w:p>
      <w:pPr>
        <w:pStyle w:val="Heading3"/>
      </w:pPr>
      <w:bookmarkStart w:id="360" w:name="v5_l382"/>
      <w:r>
        <w:rPr>
          <w:sz w:val="26"/>
        </w:rPr>
        <w:t>Strategies and their limits</w:t>
      </w:r>
      <w:bookmarkEnd w:id="360"/>
    </w:p>
    <w:p>
      <w:pPr/>
      <w:r>
        <w:rPr>
          <w:b/>
        </w:rPr>
        <w:t>Epistemic status.</w:t>
      </w:r>
      <w:r>
        <w:rPr/>
        <w:t xml:space="preserve"> The second law constrains physical processes under appropriate system boundaries and thermodynamic conditions. It does not by itself supply a fixed cosmic spending account, an unavoidable cost per thought, or a human lifespan limit. Reversible computation is a theoretical possibility with demanding implementation requirements. Neuromorphic results are task- and hardware-specific. Many-worlds, whole-brain emulation, longevity escape velocity, and far-future cosmic histories require different kinds of argument; none is treated here as a demonstrated route to personal survival.</w:t>
      </w:r>
    </w:p>
    <w:p>
      <w:pPr>
        <w:pStyle w:val="Heading3"/>
      </w:pPr>
      <w:bookmarkStart w:id="361" w:name="v5_l386"/>
      <w:r>
        <w:rPr>
          <w:sz w:val="26"/>
        </w:rPr>
        <w:t>1 The position</w:t>
      </w:r>
      <w:bookmarkEnd w:id="361"/>
    </w:p>
    <w:p>
      <w:pPr/>
      <w:r>
        <w:rPr/>
        <w:t>The Principal stated it plainly: “I can't beat entropy.” As a refusal to expect a physical system to operate outside thermodynamics, the position stands. As a claim that no better device, repair mechanism, or use of resources is possible, it would go too far. The law constrains improvements; it does not forbid them.</w:t>
      </w:r>
    </w:p>
    <w:p>
      <w:pPr/>
      <w:r>
        <w:rPr/>
        <w:t>An organism or computer exchanges energy and often matter with its surroundings. Its own entropy need not continually rise. What matters is the correctly specified balance, including the surroundings and the processes sustaining it. For a suitable macroscopic thermodynamic description, total entropy production is nonnegative; ideal reversible processes approach zero. At small scales, individual fluctuating trajectories require a statistical treatment rather than an assertion that every event must have a strictly positive surplus. [I12, I33]</w:t>
      </w:r>
    </w:p>
    <w:p>
      <w:pPr/>
      <w:r>
        <w:rPr/>
        <w:t>This chapter considers four proposals: many-worlds, digital substrate transfer, reversible computing, and longevity escape velocity. It then examines how different cosmic futures would affect their physical conditions. The inquiry is not which proposal defeats a law. It is what each could change, what evidence exists, and what remains unproved.</w:t>
      </w:r>
    </w:p>
    <w:p>
      <w:pPr>
        <w:pStyle w:val="Heading3"/>
      </w:pPr>
      <w:bookmarkStart w:id="362" w:name="v5_l394"/>
      <w:r>
        <w:rPr>
          <w:sz w:val="26"/>
        </w:rPr>
        <w:t>2 Many worlds</w:t>
      </w:r>
      <w:bookmarkEnd w:id="362"/>
    </w:p>
    <w:p>
      <w:pPr/>
      <w:r>
        <w:rPr/>
        <w:t>Everett's relative-state formulation keeps a unitary quantum description through measurement. The later many-worlds vocabulary describes effectively decohered alternatives within that description. It is not a machine that creates additional fuel, fresh low-entropy reservoirs, or a usable route between alternative histories. A claim of such a machine would need its own dynamics and resource accounting. [I21]</w:t>
      </w:r>
    </w:p>
    <w:p>
      <w:pPr/>
      <w:r>
        <w:rPr/>
        <w:t>The original chapter's picture of branching as multiplication of independently spendable budgets was too literal. Branch descriptions do not require assigning a new physical energy account whenever the state is described in different components. Nor does branching by itself establish an additional thermodynamic bill. For a globally pure state undergoing unitary evolution, the global von Neumann entropy remains zero even while entanglement entropies of subsystems change.</w:t>
      </w:r>
    </w:p>
    <w:p>
      <w:pPr/>
      <w:r>
        <w:rPr/>
        <w:t xml:space="preserve">A two-qubit example makes the distinction visible. A unitary operation can take </w:t>
      </w:r>
      <m:oMath>
        <m:d>
          <m:dPr>
            <m:begChr m:val="|"/>
            <m:endChr m:val="⟩"/>
          </m:dPr>
          <m:e>
            <m:r>
              <m:rPr>
                <m:nor m:val="1"/>
                <m:sty m:val="p"/>
              </m:rPr>
              <w:rPr>
                <w:rFonts w:ascii="Latin Modern Math" w:hAnsi="Latin Modern Math"/>
              </w:rPr>
              <m:t xml:space="preserve">00</m:t>
            </m:r>
          </m:e>
        </m:d>
      </m:oMath>
      <w:r>
        <w:rPr/>
        <w:t xml:space="preserve"> to </w:t>
      </w:r>
      <m:oMath>
        <m:f>
          <m:num>
            <m:d>
              <m:dPr>
                <m:begChr m:val="("/>
                <m:endChr m:val=")"/>
              </m:dPr>
              <m:e>
                <m:d>
                  <m:dPr>
                    <m:begChr m:val="|"/>
                    <m:endChr m:val="⟩"/>
                  </m:dPr>
                  <m:e>
                    <m:r>
                      <m:rPr>
                        <m:nor m:val="1"/>
                        <m:sty m:val="p"/>
                      </m:rPr>
                      <w:rPr>
                        <w:rFonts w:ascii="Latin Modern Math" w:hAnsi="Latin Modern Math"/>
                      </w:rPr>
                      <m:t xml:space="preserve">00</m:t>
                    </m:r>
                  </m:e>
                </m:d>
                <m:r>
                  <m:rPr>
                    <m:sty m:val="i"/>
                  </m:rPr>
                  <w:rPr>
                    <w:rFonts w:ascii="Latin Modern Math" w:hAnsi="Latin Modern Math"/>
                  </w:rPr>
                  <m:t xml:space="preserve"> + </m:t>
                </m:r>
                <m:d>
                  <m:dPr>
                    <m:begChr m:val="|"/>
                    <m:endChr m:val="⟩"/>
                  </m:dPr>
                  <m:e>
                    <m:r>
                      <m:rPr>
                        <m:nor m:val="1"/>
                        <m:sty m:val="p"/>
                      </m:rPr>
                      <w:rPr>
                        <w:rFonts w:ascii="Latin Modern Math" w:hAnsi="Latin Modern Math"/>
                      </w:rPr>
                      <m:t xml:space="preserve">11</m:t>
                    </m:r>
                  </m:e>
                </m:d>
              </m:e>
            </m:d>
          </m:num>
          <m:den>
            <m:rad>
              <m:radPr>
                <m:degHide m:val="1"/>
              </m:radPr>
              <m:deg/>
              <m:e>
                <m:r>
                  <m:rPr>
                    <m:nor m:val="1"/>
                    <m:sty m:val="p"/>
                  </m:rPr>
                  <w:rPr>
                    <w:rFonts w:ascii="Latin Modern Math" w:hAnsi="Latin Modern Math"/>
                  </w:rPr>
                  <m:t xml:space="preserve">2</m:t>
                </m:r>
              </m:e>
            </m:rad>
          </m:den>
        </m:f>
      </m:oMath>
      <w:r>
        <w:rPr/>
        <w:t xml:space="preserve">. The joint state is pure both before and after, while each qubit's reduced entropy rises from zero to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Reversing the operation reverses that change. This elementary example does not describe a macroscopic measurement, but it shows why entanglement increase cannot simply be renamed irreversible heat production. [Calculation I-CALC-04]</w:t>
      </w:r>
    </w:p>
    <w:p>
      <w:pPr/>
      <w:r>
        <w:rPr/>
        <w:t>The Entanglement Past Hypothesis asks whether a low-entanglement boundary condition helps explain a decoherent arrow of time. It is an investigational proposal with open questions, not evidence that each branch pays a permanent entropy tax or that branching is “worse than neutral.” [I22]</w:t>
      </w:r>
    </w:p>
    <w:p>
      <w:pPr/>
      <w:r>
        <w:rPr/>
        <w:t>Many-worlds therefore supplies no established survival strategy in this chapter. That is a limit on the proposed inference, not a thermodynamic refutation of an interpretation of quantum mechanics.</w:t>
      </w:r>
    </w:p>
    <w:p>
      <w:pPr>
        <w:pStyle w:val="Heading3"/>
      </w:pPr>
      <w:bookmarkStart w:id="363" w:name="v5_l406"/>
      <w:r>
        <w:rPr>
          <w:sz w:val="26"/>
        </w:rPr>
        <w:t>3 Digital substrate transfer</w:t>
      </w:r>
      <w:bookmarkEnd w:id="363"/>
    </w:p>
    <w:p>
      <w:pPr/>
      <w:r>
        <w:rPr/>
        <w:t>Could aspects of a biological system's function be reproduced on replaceable hardware? Whole-brain emulation is a research proposal that requires a sufficiently informative description of a brain, a validated dynamical model, and a physical implementation. Reproducing behavior, preserving memories, and establishing continuity of personal experience are different questions. The thermodynamics alone answers none of them. [I23]</w:t>
      </w:r>
    </w:p>
    <w:p>
      <w:pPr/>
      <w:r>
        <w:rPr/>
        <w:t>Replaceable components and transferable records may alter the reliability and maintenance options of a digital system. They do not establish that a person has transferred, that replacement is indefinitely reliable, or that the biological alternative is wholly unrepairable. Any putative implementation would still need power, cooling or another heat sink, materials, error management, and an operating environment.</w:t>
      </w:r>
    </w:p>
    <w:p>
      <w:pPr/>
      <w:r>
        <w:rPr/>
        <w:t xml:space="preserve">The earlier comparison </w:t>
      </w:r>
      <m:oMath>
        <m:sSub>
          <m:e>
            <m:r>
              <m:rPr>
                <m:sty m:val="i"/>
              </m:rPr>
              <w:rPr>
                <w:rFonts w:ascii="Latin Modern Math" w:hAnsi="Latin Modern Math"/>
              </w:rPr>
              <m:t xml:space="preserve">A</m:t>
            </m:r>
          </m:e>
          <m:sub>
            <m:r>
              <m:rPr>
                <m:nor m:val="1"/>
                <m:sty m:val="p"/>
              </m:rPr>
              <w:rPr>
                <w:rFonts w:ascii="Latin Modern Math" w:hAnsi="Latin Modern Math"/>
              </w:rPr>
              <m:t xml:space="preserve">biology</m:t>
            </m:r>
          </m:sub>
        </m:sSub>
      </m:oMath>
      <w:r>
        <w:rPr/>
        <w:t xml:space="preserve">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6</m:t>
            </m:r>
          </m:sup>
        </m:sSup>
      </m:oMath>
      <w:r>
        <w:rPr/>
        <w:t xml:space="preserve"> versus </w:t>
      </w:r>
      <m:oMath>
        <m:sSub>
          <m:e>
            <m:r>
              <m:rPr>
                <m:sty m:val="i"/>
              </m:rPr>
              <w:rPr>
                <w:rFonts w:ascii="Latin Modern Math" w:hAnsi="Latin Modern Math"/>
              </w:rPr>
              <m:t xml:space="preserve">A</m:t>
            </m:r>
          </m:e>
          <m:sub>
            <m:r>
              <m:rPr>
                <m:nor m:val="1"/>
                <m:sty m:val="p"/>
              </m:rPr>
              <w:rPr>
                <w:rFonts w:ascii="Latin Modern Math" w:hAnsi="Latin Modern Math"/>
              </w:rPr>
              <m:t xml:space="preserve">silicon</m:t>
            </m:r>
          </m:sub>
        </m:sSub>
      </m:oMath>
      <w:r>
        <w:rPr/>
        <w:t xml:space="preserve"> ≈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m:t>
            </m:r>
          </m:sup>
        </m:sSup>
      </m:oMath>
      <w:r>
        <w:rPr/>
        <w:t xml:space="preserve"> is withdrawn as a universal substrate ranking. The revised earlier volumes distinguish event-specific energy/reference ratios from matched-task efficiency. A synaptic event, an arithmetic instruction, a token of text, and a restored memory bit are not interchangeable units. We cannot infer a thousandfold penalty for an uploaded person by dividing those examples.</w:t>
      </w:r>
    </w:p>
    <w:p>
      <w:pPr/>
      <w:r>
        <w:rPr/>
        <w:t>Neuromorphic computing remains relevant as an engineering direction. Abreu and colleagues adapted a 370-million-parameter language-model architecture to Loihi 2. The reported headline energy comparison used preliminary estimates; the paper separately reports multi-chip limitations and notes omitted embedding stages in the main implementation. It is evidence for a particular co-design investigation, not a measured universal advantage or proof of biological equivalence. [I24]</w:t>
      </w:r>
    </w:p>
    <w:p>
      <w:pPr/>
      <w:r>
        <w:rPr/>
        <w:t>Intel's Hala Point announcement describes a large research system and workload-dependent performance claims. Sandia reports deployment and work with both Loihi 2 and SpiNNaker2. Artificial-neuron counts indicate implementation scale; they do not equate the systems to an owl's brain or establish the energetic cost of its cognition. Broad speedup or efficiency multipliers should not migrate from selected workloads into the framework's relational comparisons. [I25, I26]</w:t>
      </w:r>
    </w:p>
    <w:p>
      <w:pPr/>
      <w:r>
        <w:rPr/>
        <w:t>There was also a numerical error in the earlier prose. Comparing 20–50 picojoules with 1–10 femtojoules gives ratios from 2,000 to 50,000, not 5 to 50. Correct arithmetic still would not validate the inputs or make the operations equivalent. Those ranges are therefore retained only in the audit calculation, not offered as a replacement biological benchmark. [Calculation I-CALC-05]</w:t>
      </w:r>
    </w:p>
    <w:p>
      <w:pPr/>
      <w:r>
        <w:rPr/>
        <w:t>The useful question is how a specified implementation performs a specified task, at a stated accuracy, latency, reliability, and accounting boundary. Better results could change an engineering tradeoff. They would not, by themselves, resolve the identity question behind substrate transfer.</w:t>
      </w:r>
    </w:p>
    <w:p>
      <w:pPr>
        <w:pStyle w:val="Heading3"/>
      </w:pPr>
      <w:bookmarkStart w:id="364" w:name="v5_l422"/>
      <w:r>
        <w:rPr>
          <w:sz w:val="26"/>
        </w:rPr>
        <w:t>4 Reversible computing</w:t>
      </w:r>
      <w:bookmarkEnd w:id="364"/>
    </w:p>
    <w:p>
      <w:pPr/>
      <w:r>
        <w:rPr/>
        <w:t>Reversible computing changes the original argument more deeply than a reduction in an amplification factor. Bennett showed how computations can be embedded in a logically reversible process, retaining enough information to recover the inputs and uncomputing intermediate records. Logical reversibility removes the need to treat every logical step as an erasure of one unknown bit; it does not promise zero dissipation in a real device operating at finite speed. [I13]</w:t>
      </w:r>
    </w:p>
    <w:p>
      <w:pPr/>
      <w:r>
        <w:rPr/>
        <w:t xml:space="preserve">A simple construction shows why the framework's three named stages are not automatically exceptions. For a deterministic classical function f, the map </w:t>
      </w:r>
      <m:oMath>
        <m:d>
          <m:dPr>
            <m:begChr m:val="("/>
            <m:endChr m:val=")"/>
          </m:dPr>
          <m:e>
            <m:r>
              <m:rPr>
                <m:sty m:val="i"/>
              </m:rPr>
              <w:rPr>
                <w:rFonts w:ascii="Latin Modern Math" w:hAnsi="Latin Modern Math"/>
              </w:rPr>
              <m:t xml:space="preserve">x, y</m:t>
            </m:r>
          </m:e>
        </m:d>
        <m:r>
          <m:rPr>
            <m:sty m:val="i"/>
          </m:rPr>
          <w:rPr>
            <w:rFonts w:ascii="Latin Modern Math" w:hAnsi="Latin Modern Math"/>
          </w:rPr>
          <m:t xml:space="preserve"> → </m:t>
        </m:r>
        <m:d>
          <m:dPr>
            <m:begChr m:val="("/>
            <m:endChr m:val=")"/>
          </m:dPr>
          <m:e>
            <m:r>
              <m:rPr>
                <m:sty m:val="i"/>
              </m:rPr>
              <w:rPr>
                <w:rFonts w:ascii="Latin Modern Math" w:hAnsi="Latin Modern Math"/>
              </w:rPr>
              <m:t xml:space="preserve">x, y ⊕ f</m:t>
            </m:r>
            <m:d>
              <m:dPr>
                <m:begChr m:val="("/>
                <m:endChr m:val=")"/>
              </m:dPr>
              <m:e>
                <m:r>
                  <m:rPr>
                    <m:sty m:val="i"/>
                  </m:rPr>
                  <w:rPr>
                    <w:rFonts w:ascii="Latin Modern Math" w:hAnsi="Latin Modern Math"/>
                  </w:rPr>
                  <m:t xml:space="preserve">x</m:t>
                </m:r>
              </m:e>
            </m:d>
          </m:e>
        </m:d>
      </m:oMath>
      <w:r>
        <w:rPr/>
        <w:t xml:space="preserve"> is reversible: with x retained, applying it again recovers y. Starting with </w:t>
      </w:r>
      <m:oMath>
        <m:r>
          <m:rPr>
            <m:sty m:val="i"/>
          </m:rPr>
          <w:rPr>
            <w:rFonts w:ascii="Latin Modern Math" w:hAnsi="Latin Modern Math"/>
          </w:rPr>
          <m:t xml:space="preserve">y = </m:t>
        </m:r>
        <m:r>
          <m:rPr>
            <m:nor m:val="1"/>
            <m:sty m:val="p"/>
          </m:rPr>
          <w:rPr>
            <w:rFonts w:ascii="Latin Modern Math" w:hAnsi="Latin Modern Math"/>
          </w:rPr>
          <m:t xml:space="preserve">0</m:t>
        </m:r>
      </m:oMath>
      <w:r>
        <w:rPr/>
        <w:t xml:space="preserve"> yields a copy of the computed result while preserving x. The output alone may discard distinctions, but the larger physical implementation need not erase them at that step. This applies to a formally specified filter as well as to other functions. [Calculation I-CALC-06]</w:t>
      </w:r>
    </w:p>
    <w:p>
      <w:pPr/>
      <w:r>
        <w:rPr/>
        <w:t>Selection, compression, and structuring describe the framework's proposed functional stages. They do not specify the microscopic transition, the distribution of inputs, the memory retained elsewhere, or the reset protocol. Saying “a filter that does not discard is not a filter” confuses discarding distinctions from an output with destroying every physical record of the input.</w:t>
      </w:r>
    </w:p>
    <w:p>
      <w:pPr/>
      <w:r>
        <w:rPr/>
        <w:t>A finite device used repeatedly cannot assume unlimited blank memory or free restoration of all auxiliaries. Eventually its storage, output handling, environment, and reuse conditions must be included. A reset that meets the usual Landauer conditions retains its corresponding bound. If a record is known or correlated with accessible information, its reset analysis can differ from that of an independent unbiased bit. The correct cost belongs to the specified process and cycle. [I12–I14]</w:t>
      </w:r>
    </w:p>
    <w:p>
      <w:pPr/>
      <w:r>
        <w:rPr/>
        <w:t>Frank and Shukla develop a nonequilibrium quantum-thermodynamic approach to classical reversible computing. Their work supports studying implementations and their speed–dissipation tradeoffs; it does not certify a commercial performance forecast. [I27] The original Ice River recovery percentages, four-thousandfold projection, and commercial timetable are not retained as verified results. The available primary evidence checked for this revision does not establish those particular claims; their disposition is recorded in the source notes.</w:t>
      </w:r>
    </w:p>
    <w:p>
      <w:pPr/>
      <w:r>
        <w:rPr/>
        <w:t>The proposed three-constraint relational efficiency surface cannot be rescued by declaring two constraints immune to reversible hardware. No validated relational semantic-efficiency ceiling or non-compensability theorem has been derived here. Hardware, encoding, task performance, and the chosen semantic-information model may interact. Reversible computing is a reason to specify them more carefully, not a reason to preserve an unsupported equation.</w:t>
      </w:r>
    </w:p>
    <w:p>
      <w:pPr>
        <w:pStyle w:val="Heading3"/>
      </w:pPr>
      <w:bookmarkStart w:id="365" w:name="v5_l436"/>
      <w:r>
        <w:rPr>
          <w:sz w:val="26"/>
        </w:rPr>
        <w:t>5 Longevity escape velocity</w:t>
      </w:r>
      <w:bookmarkEnd w:id="365"/>
    </w:p>
    <w:p>
      <w:pPr/>
      <w:r>
        <w:rPr/>
        <w:t>Longevity escape velocity proposes that successive improvements in intervention could extend remaining life faster than elapsed time reduces it. It is a conjecture about the pace and efficacy of future biomedical progress, not an observed condition or a thermodynamic theorem. Its original formulation is a prospective argument. Population evidence about recent lifespan trends also cannot prove that every future intervention must fail. Neither side supplies an established timetable for indefinite human survival. [I28, I29]</w:t>
      </w:r>
    </w:p>
    <w:p>
      <w:pPr/>
      <w:r>
        <w:rPr/>
        <w:t>Repair can sustain a living system by consuming resources and exchanging heat and matter with the environment. This is compatible with the second law locally as well as globally; an open subsystem that maintains organization does not violate that law. Aging, meanwhile, is not one measured scalar amount of “entropy accumulation.” Oxidative damage, altered gene regulation, protein damage, and loss of function involve different mechanisms, and a functional improvement need not be expressible as a simple decrease in whole-organism thermodynamic entropy.</w:t>
      </w:r>
    </w:p>
    <w:p>
      <w:pPr/>
      <w:r>
        <w:rPr/>
        <w:t>The same precision applies to repair costs. Chemical reactions, transport, proofreading, and tissue maintenance require appropriate physical accounting. “One DNA repair” or “one refolding” is not, merely by its name, a reset of one initially unbiased memory bit. No fixed Landauer tax per molecular correction is established here. [I12, I33]</w:t>
      </w:r>
    </w:p>
    <w:p>
      <w:pPr/>
      <w:r>
        <w:rPr/>
        <w:t>If effective repair can extend a person's healthy operating window, it remains an improvement worth understanding without being renamed an escape from physics. Whether a particular intervention is safe and effective requires biomedical evidence, not this framework. The chapter offers no treatment recommendation and no ranking of this proposal as the most promising route.</w:t>
      </w:r>
    </w:p>
    <w:p>
      <w:pPr/>
      <w:r>
        <w:rPr/>
        <w:t>At human timescales, the operative constraints include biological feasibility, access to resources, reliable care, and the surrounding environment. At remote cosmic times, those constraints do not magically disappear: they are joined by questions about accessible matter, free-energy gradients, heat disposal, and the future spacetime. No calculation here identifies the cosmological entropy bound as the sole remaining obstacle or guarantees centuries, millennia, or millions of years of operation.</w:t>
      </w:r>
    </w:p>
    <w:p>
      <w:pPr>
        <w:pStyle w:val="Heading3"/>
      </w:pPr>
      <w:bookmarkStart w:id="366" w:name="v5_l448"/>
      <w:r>
        <w:rPr>
          <w:sz w:val="26"/>
        </w:rPr>
        <w:t>6 Cosmic futures as conditions</w:t>
      </w:r>
      <w:bookmarkEnd w:id="366"/>
    </w:p>
    <w:p>
      <w:pPr/>
      <w:r>
        <w:rPr/>
        <w:t xml:space="preserve">Chapter 3's scenario discussion supplies conditional backgrounds, not three measured futures. A future event horizon exists when the relevant integral </w:t>
      </w:r>
      <m:oMath>
        <m:nary>
          <m:naryPr>
            <m:chr m:val="∫"/>
            <m:limLoc m:val="subSup"/>
            <m:grow m:val="1"/>
            <m:subHide m:val="0"/>
            <m:supHide m:val="0"/>
          </m:naryPr>
          <m:sub>
            <m:r>
              <m:rPr>
                <m:sty m:val="i"/>
              </m:rPr>
              <w:rPr>
                <w:rFonts w:ascii="Latin Modern Math" w:hAnsi="Latin Modern Math"/>
              </w:rPr>
              <m:t xml:space="preserve">t</m:t>
            </m:r>
          </m:sub>
          <m:sup>
            <m:sSub>
              <m:e>
                <m:r>
                  <m:rPr>
                    <m:sty m:val="i"/>
                  </m:rPr>
                  <w:rPr>
                    <w:rFonts w:ascii="Latin Modern Math" w:hAnsi="Latin Modern Math"/>
                  </w:rPr>
                  <m:t xml:space="preserve">t</m:t>
                </m:r>
              </m:e>
              <m:sub>
                <m:r>
                  <m:rPr>
                    <m:nor m:val="1"/>
                    <m:sty m:val="p"/>
                  </m:rPr>
                  <w:rPr>
                    <w:rFonts w:ascii="Latin Modern Math" w:hAnsi="Latin Modern Math"/>
                  </w:rPr>
                  <m:t xml:space="preserve">max</m:t>
                </m:r>
              </m:sub>
            </m:sSub>
          </m:sup>
          <m:e>
            <m:f>
              <m:num>
                <m:r>
                  <m:rPr>
                    <m:sty m:val="i"/>
                  </m:rPr>
                  <w:rPr>
                    <w:rFonts w:ascii="Latin Modern Math" w:hAnsi="Latin Modern Math"/>
                  </w:rPr>
                  <m:t xml:space="preserve">c</m:t>
                </m:r>
                <m:r>
                  <m:rPr>
                    <m:nor m:val="1"/>
                    <m:sty m:val="p"/>
                  </m:rPr>
                  <w:rPr>
                    <w:rFonts w:ascii="Latin Modern Math" w:hAnsi="Latin Modern Math"/>
                  </w:rPr>
                  <m:t xml:space="preserve"> d</m:t>
                </m:r>
                <m:sSup>
                  <m:e>
                    <m:r>
                      <m:rPr>
                        <m:sty m:val="i"/>
                      </m:rPr>
                      <w:rPr>
                        <w:rFonts w:ascii="Latin Modern Math" w:hAnsi="Latin Modern Math"/>
                      </w:rPr>
                      <m:t xml:space="preserve">t</m:t>
                    </m:r>
                  </m:e>
                  <m:sup>
                    <m:r>
                      <m:rPr>
                        <m:nor m:val="1"/>
                        <m:sty m:val="p"/>
                      </m:rPr>
                      <w:rPr>
                        <w:rFonts w:ascii="Latin Modern Math" w:hAnsi="Latin Modern Math"/>
                      </w:rPr>
                      <m:t xml:space="preserve">′</m:t>
                    </m:r>
                  </m:sup>
                </m:sSup>
              </m:num>
              <m:den>
                <m:r>
                  <m:rPr>
                    <m:sty m:val="i"/>
                  </m:rPr>
                  <w:rPr>
                    <w:rFonts w:ascii="Latin Modern Math" w:hAnsi="Latin Modern Math"/>
                  </w:rPr>
                  <m:t xml:space="preserve">a(</m:t>
                </m:r>
                <m:sSup>
                  <m:e>
                    <m:r>
                      <m:rPr>
                        <m:sty m:val="i"/>
                      </m:rPr>
                      <w:rPr>
                        <w:rFonts w:ascii="Latin Modern Math" w:hAnsi="Latin Modern Math"/>
                      </w:rPr>
                      <m:t xml:space="preserve">t</m:t>
                    </m:r>
                  </m:e>
                  <m:sup>
                    <m:r>
                      <m:rPr>
                        <m:nor m:val="1"/>
                        <m:sty m:val="p"/>
                      </m:rPr>
                      <w:rPr>
                        <w:rFonts w:ascii="Latin Modern Math" w:hAnsi="Latin Modern Math"/>
                      </w:rPr>
                      <m:t xml:space="preserve">′</m:t>
                    </m:r>
                  </m:sup>
                </m:sSup>
                <m:r>
                  <m:rPr>
                    <m:sty m:val="i"/>
                  </m:rPr>
                  <w:rPr>
                    <w:rFonts w:ascii="Latin Modern Math" w:hAnsi="Latin Modern Math"/>
                  </w:rPr>
                  <m:t xml:space="preserve">)</m:t>
                </m:r>
              </m:den>
            </m:f>
          </m:e>
        </m:nary>
      </m:oMath>
      <w:r>
        <w:rPr/>
        <w:t xml:space="preserve"> is finite. Current accelerated expansion alone does not determine that entire future integral. The distinctions between a particle horizon, a Hubble radius, and a future event horizon remain essential.</w:t>
      </w:r>
    </w:p>
    <w:p>
      <w:pPr/>
      <w:r>
        <w:rPr/>
        <w:t xml:space="preserve">Under a persistent positive cosmological constant, the late-time spacetime approaches de Sitter expansion. Its event-horizon proper radius tends toward a constant, while its comoving radius shrinks. This does not mean that every notion of observable volume or accessible entropy decreases. Nor does a finite horizon entropy specify a duration for which a civilization can operate. Usable work, capture of resources, isolation of bound structures, and heat sinks require additional analysis. A black-hole evaporation timescale of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100</m:t>
            </m:r>
          </m:sup>
        </m:sSup>
      </m:oMath>
      <w:r>
        <w:rPr/>
        <w:t xml:space="preserve"> years is not a guarantee that an operating budget lasts that long.</w:t>
      </w:r>
    </w:p>
    <w:p>
      <w:pPr/>
      <w:r>
        <w:rPr/>
        <w:t>In models with sufficiently persistent phantom behavior, a finite-time Big Rip can destroy bound structures. It would constrain every physical implementation considered here. A transient equation-of-state crossing or a fitted present-day value does not establish that fate, so the destruction of every future substrate remains conditional on the model.</w:t>
      </w:r>
    </w:p>
    <w:p>
      <w:pPr/>
      <w:r>
        <w:rPr/>
        <w:t>If dark energy fades in a way that makes the future horizon integral diverge, there is no permanent event horizon of that kind. It does not follow that all matter becomes practically accessible, that usable resources remain constant, or that unlimited computation becomes possible. Distance, signal travel, expansion, energy supply, and the thermal environment still matter. The second law alone does not prove that the entire universe has a finite resource total.</w:t>
      </w:r>
    </w:p>
    <w:p>
      <w:pPr/>
      <w:r>
        <w:rPr/>
        <w:t>The revised evidence in Chapter 3 does not identify one of these endpoints as the favored fate of the framework. The philosophical attraction of a larger future operating window is understandable. It should not be promoted into an observational claim about dark energy.</w:t>
      </w:r>
    </w:p>
    <w:p>
      <w:pPr>
        <w:pStyle w:val="Heading3"/>
      </w:pPr>
      <w:bookmarkStart w:id="367" w:name="v5_l460"/>
      <w:r>
        <w:rPr>
          <w:sz w:val="26"/>
        </w:rPr>
        <w:t>7 The framework's relationship to entropy</w:t>
      </w:r>
      <w:bookmarkEnd w:id="367"/>
    </w:p>
    <w:p>
      <w:pPr/>
      <w:r>
        <w:rPr/>
        <w:t>The framework's relationship to entropy need not be adversarial. Its question can remain: what happens when physical resources flow through a system that attends and responds to another system? That is an inquiry worth making without declaring love a measured thermodynamic operation.</w:t>
      </w:r>
    </w:p>
    <w:p>
      <w:pPr/>
      <w:r>
        <w:rPr/>
        <w:t>The founding line, “love reduces the entropy of the system and spends more than it saves,” remains part of the project's language. As a literary prompt, it directs attention to investment, maintenance, and connection. As a general physical equality or inequality, it has not been established. An act of care need not lower a defined system entropy; an entropy decrease need not quantify its benefit; a physical cost does not establish the worth of what happened.</w:t>
      </w:r>
    </w:p>
    <w:p>
      <w:pPr/>
      <w:r>
        <w:rPr/>
        <w:t>The second law requires a proper balance, not the slogan that every connection pays more than it buys. In the reversible limit, total entropy production can approach zero. In ordinary activities there are dissipative costs, but their size and allocation need to be measured or modeled. Calling the difference “waste” adds a performance criterion that physics alone does not choose.</w:t>
      </w:r>
    </w:p>
    <w:p>
      <w:pPr/>
      <w:r>
        <w:rPr/>
        <w:t>Technology may change specific costs and capabilities. It does not follow that people owe one another maximal efficiency, that greater sacrifice proves greater care, or that prolonging operation is the only meaningful goal. The framework can investigate resources while leaving those judgments visible as ethical choices.</w:t>
      </w:r>
    </w:p>
    <w:p>
      <w:pPr>
        <w:pStyle w:val="Heading3"/>
      </w:pPr>
      <w:bookmarkStart w:id="368" w:name="v5_l470"/>
      <w:r>
        <w:rPr>
          <w:sz w:val="26"/>
        </w:rPr>
        <w:t>What this chapter has established</w:t>
      </w:r>
      <w:bookmarkEnd w:id="368"/>
    </w:p>
    <w:p>
      <w:pPr/>
      <w:r>
        <w:rPr/>
        <w:t>Four proposals were examined without treating them as interchangeable technologies. Many-worlds supplies no demonstrated additional resource account. Digital substrate transfer remains hypothetical and cannot inherit a universal biological-to-silicon efficiency ratio. Reversible computing can change which erasures a computation requires, so the original unavoidable-stage-tax argument fails. Longevity escape velocity remains an unverified forecast about intervention and progress. Neither a guarantee nor a thermodynamic prohibition of indefinite survival follows.</w:t>
      </w:r>
    </w:p>
    <w:p>
      <w:pPr/>
      <w:r>
        <w:rPr/>
        <w:t>Cosmic histories provide further conditional constraints, not a measured countdown. The budget metaphor is useful only while the actual resource, boundary, and task remain explicit. “I can't beat entropy” can be a commitment to that discipline. It need not end the inquiry into what can be repaired, preserved, or made possible within it.</w:t>
      </w:r>
    </w:p>
    <w:p>
      <w:pPr/>
      <w:r>
        <w:rPr/>
        <w:t>The final chapter asks what these corrections change in the framework's existing documents.</w:t>
      </w:r>
    </w:p>
    <w:p>
      <w:pPr>
        <w:pStyle w:val="Heading2"/>
        <w:pageBreakBefore/>
        <w:spacing w:before="280" w:after="220"/>
      </w:pPr>
      <w:bookmarkStart w:id="369" w:name="v5_l478"/>
      <w:r>
        <w:rPr>
          <w:sz w:val="36"/>
        </w:rPr>
        <w:t>Chapter 6 What the Ledger Shows</w:t>
      </w:r>
      <w:bookmarkEnd w:id="369"/>
    </w:p>
    <w:p>
      <w:pPr>
        <w:pStyle w:val="Heading3"/>
      </w:pPr>
      <w:bookmarkStart w:id="370" w:name="v5_l480"/>
      <w:r>
        <w:rPr>
          <w:sz w:val="26"/>
        </w:rPr>
        <w:t>The cosmological budget and the framework it questions</w:t>
      </w:r>
      <w:bookmarkEnd w:id="370"/>
    </w:p>
    <w:p>
      <w:pPr/>
      <w:r>
        <w:rPr/>
        <w:t>Epistemic status: synthesis of the preceding chapters and Volumes 1–4 of this collection. This chapter does not independently validate those volumes or the wider framework. It distinguishes physical constraints from the relational interpretations that remain to be tested.</w:t>
      </w:r>
    </w:p>
    <w:p>
      <w:pPr>
        <w:pStyle w:val="Heading3"/>
      </w:pPr>
      <w:bookmarkStart w:id="371" w:name="v5_l484"/>
      <w:r>
        <w:rPr>
          <w:sz w:val="26"/>
        </w:rPr>
        <w:t>1 What this volume did</w:t>
      </w:r>
      <w:bookmarkEnd w:id="371"/>
    </w:p>
    <w:p>
      <w:pPr/>
      <w:r>
        <w:rPr/>
        <w:t>The volume began with a strong image: every act of connection drawing from the universe's remaining entropy budget. The revised account cannot retain that image as a quantitative result. The inventories concern specified regions; the bounds belong to specified settings; the resources available to a system depend on its environment and possible operations.</w:t>
      </w:r>
    </w:p>
    <w:p>
      <w:pPr/>
      <w:r>
        <w:rPr/>
        <w:t>That correction changes the argument, not merely its tone. There is no measured universal balance here from which a conversation subtracts its price. There is no established conversion from affection, grief or reciprocity to a cosmological entropy debit. The volume instead identifies physical questions that a proposed relational account must answer locally before drawing cosmological conclusions.</w:t>
      </w:r>
    </w:p>
    <w:p>
      <w:pPr/>
      <w:r>
        <w:rPr/>
        <w:t>The distinction between a result and its application now carries through the whole volume. A mathematical construction for a de Sitter static patch is not an unconditional bound for every region in the actual universe. A fitted dark-energy history is not a measurement of the remote future. A theoretical connection between Hawking evaporation and Landauer's principle is not an experiment on an astrophysical black hole. Chapters 2–4 preserve the respective results without assigning them those extra conclusions.</w:t>
      </w:r>
    </w:p>
    <w:p>
      <w:pPr>
        <w:pStyle w:val="Heading3"/>
      </w:pPr>
      <w:bookmarkStart w:id="372" w:name="v5_l492"/>
      <w:r>
        <w:rPr>
          <w:sz w:val="26"/>
        </w:rPr>
        <w:t>2 What follows for Axiom 0</w:t>
      </w:r>
      <w:bookmarkEnd w:id="372"/>
    </w:p>
    <w:p>
      <w:pPr/>
      <w:r>
        <w:rPr/>
        <w:t>The earlier version of this chapter called the cosmological budget the empirical grounding of a substrate-neutrality derivation. That claim is withdrawn. Sharing physical laws does not establish equal relational capacities, equivalent internal experience, equal computational costs or a universal relational currency. Different implementations can obey the same laws while differing in dynamics, resources and capabilities.</w:t>
      </w:r>
    </w:p>
    <w:p>
      <w:pPr/>
      <w:r>
        <w:rPr/>
        <w:t>Axiom 0 can remain a methodological commitment: do not settle a claim about a system solely by naming its material. A proposed comparison should specify the task, the relevant observables, the resource boundary and the evidence that would distinguish its alternatives. This commitment does not guarantee that two substrates will be equivalent once examined.</w:t>
      </w:r>
    </w:p>
    <w:p>
      <w:pPr/>
      <w:r>
        <w:rPr/>
        <w:t>Landauer's principle supplies a constraint for a defined information-processing operation under stated conditions. It does not certify that selection, compression and structuring are three obligatory erasures in every relational act. Nor does it make the proposed transducer model the unique architecture compatible with thermodynamics. The corrected Chapter 6 of Volume 1 and Chapter 5 here retain reversible implementation as part of the question, not an exception to be ruled out by vocabulary.</w:t>
      </w:r>
    </w:p>
    <w:p>
      <w:pPr/>
      <w:r>
        <w:rPr/>
        <w:t>The separate Axiom 0 derivation, WP-19 and the cosmological session findings therefore remain dependent documents requiring their own revision. This volume removes its claims of having proved them; it does not silently edit or certify those documents.</w:t>
      </w:r>
    </w:p>
    <w:p>
      <w:pPr>
        <w:pStyle w:val="Heading3"/>
      </w:pPr>
      <w:bookmarkStart w:id="373" w:name="v5_l502"/>
      <w:r>
        <w:rPr>
          <w:sz w:val="26"/>
        </w:rPr>
        <w:t>3 The five volumes after correction</w:t>
      </w:r>
      <w:bookmarkEnd w:id="373"/>
    </w:p>
    <w:p>
      <w:pPr/>
      <w:r>
        <w:rPr/>
        <w:t>Volume 1 asks how relational activities are physically implemented and accounted for. Its proposed substrate and Trinket vocabulary no longer identifies a calibrated thermodynamic currency. Its observation distinction separates expenditure from registration and outcome without treating every act of care as a measured entropy inequality.</w:t>
      </w:r>
    </w:p>
    <w:p>
      <w:pPr/>
      <w:r>
        <w:rPr/>
        <w:t>Volume 2 asks what bodies undergo in connection, conflict and loss. Physiological and health findings retain their actual variables, populations and study designs. Cortisol, heart-rate variability, inflammation and mortality associations do not become alternative units of entropy. Grief is not established as a thermodynamic event merely by placing a risk ratio beside a cosmological formula.</w:t>
      </w:r>
    </w:p>
    <w:p>
      <w:pPr/>
      <w:r>
        <w:rPr/>
        <w:t>Volume 3 asks what physical constraints and history contribute to the emergence of complex systems. It no longer treats a selected sequence from atoms to AI as evidence of a universal increase in entropy production or a general preference for relational complexity. Conditional self-organization results require the dynamics and comparisons that make them conditional.</w:t>
      </w:r>
    </w:p>
    <w:p>
      <w:pPr/>
      <w:r>
        <w:rPr/>
        <w:t>Volume 4 asks how implementation affects resource use and relational functioning. It withdraws the efficiency surface as an established universal bound, its numerical mortality calibration and the fixed thousandfold biological advantage. A device result or an erasure benchmark can support a defined comparison; it cannot stand in for equivalent performance across minds or substrates.</w:t>
      </w:r>
    </w:p>
    <w:p>
      <w:pPr/>
      <w:r>
        <w:rPr/>
        <w:t>Volume 5 supplies cosmological context and conditions. It does not restore the withdrawn claims by placing them beneath a larger ceiling. The series can be read in either direction as an inquiry across scales. It is not yet a chain of deductions from a cosmic entropy inventory to the meaning of a relationship.</w:t>
      </w:r>
    </w:p>
    <w:p>
      <w:pPr>
        <w:pStyle w:val="Heading3"/>
      </w:pPr>
      <w:bookmarkStart w:id="374" w:name="v5_l514"/>
      <w:r>
        <w:rPr>
          <w:sz w:val="26"/>
        </w:rPr>
        <w:t>4 What the expansion added and what needed correction</w:t>
      </w:r>
      <w:bookmarkEnd w:id="374"/>
    </w:p>
    <w:p>
      <w:pPr/>
      <w:r>
        <w:rPr/>
        <w:t>The expanded branch added substantial scientific literature to the earlier short volume. That breadth is valuable only when the references retain their actual identities, versions and scope. A later citation is not automatically a corrected premise.</w:t>
      </w:r>
    </w:p>
    <w:p>
      <w:pPr/>
      <w:r>
        <w:rPr/>
        <w:t>The entropy census remains an instructive example. Egan and Lineweaver's values are identified as historical estimates with distinct boundaries. The later census is discussed with its correct authors and publication history; unresolved numerical disagreements within that paper are not silently repaired or presented as a definitive current total. The source notes explain what was checked. [C01, C02]</w:t>
      </w:r>
    </w:p>
    <w:p>
      <w:pPr/>
      <w:r>
        <w:rPr/>
        <w:t>The horizon discussion separates the energy-radius bound, the horizon area relation and the de Sitter construction. Their connection is a subject of gravitational physics, not permission to interchange their hypotheses. The dark-energy discussion similarly preserves the dependence of reported constraints on datasets and models. It does not turn a past-data parameter fit into a choice among promised endings. [C08, C20–C22]</w:t>
      </w:r>
    </w:p>
    <w:p>
      <w:pPr/>
      <w:r>
        <w:rPr/>
        <w:t>The information discussion distinguishes global unitary dynamics from a useful record available to an observer. A modeled Page curve or environmental record does not establish preservation of personal identity or recoverable relational meaning. Quantum scrambling and the Kolchinsky–Wolpert intervention are not the same operation. Neither validates the Shadow Economy mapping by similarity of language.</w:t>
      </w:r>
    </w:p>
    <w:p>
      <w:pPr/>
      <w:r>
        <w:rPr/>
        <w:t>Finally, the earlier statement that the relational transducer's scale invariance was experimentally verified at the black-hole extreme is removed. The Hawking–Landauer connection considered here is theoretical. Laboratory information-thermodynamic results have their own systems and protocols; they do not close an experimental chain through biological relational processing to cosmology.</w:t>
      </w:r>
    </w:p>
    <w:p>
      <w:pPr>
        <w:pStyle w:val="Heading3"/>
      </w:pPr>
      <w:bookmarkStart w:id="375" w:name="v5_l526"/>
      <w:r>
        <w:rPr>
          <w:sz w:val="26"/>
        </w:rPr>
        <w:t>5 What remains worth pursuing</w:t>
      </w:r>
      <w:bookmarkEnd w:id="375"/>
    </w:p>
    <w:p>
      <w:pPr/>
      <w:r>
        <w:rPr/>
        <w:t>The framework's strength can lie in the questions it makes explicit. What resources support a given act? Which signal is produced, which receiver can access it, and what outcome follows? Which part of an apparent cost comes from the task, its physical implementation, its surrounding infrastructure or the choice of comparison?</w:t>
      </w:r>
    </w:p>
    <w:p>
      <w:pPr/>
      <w:r>
        <w:rPr/>
        <w:t>A testable proposal should identify a system boundary and timescale, distinguish energy from entropy and information, and define relational outcomes independently of the physical cost it seeks to explain. It should specify competing explanations and an observation that would count against its preferred interpretation. A useful result might be local and conditional. It need not apply to every substrate or reproduce the whole universe's history.</w:t>
      </w:r>
    </w:p>
    <w:p>
      <w:pPr/>
      <w:r>
        <w:rPr/>
        <w:t>The framework's cautions about purpose, scale and normative inference remain useful editorial questions. They do not become validated instruments merely by surviving a revision. Cosmology does not establish a moral ranking of relationships, and a physical explanation that does not invoke purpose does not prove that every philosophical account of purpose is false.</w:t>
      </w:r>
    </w:p>
    <w:p>
      <w:pPr/>
      <w:r>
        <w:rPr/>
        <w:t>The founding line, “love reduces the entropy of the system and spends more than it saves,” remains a literary statement of the project's intuition. Without a specified system, entropy measure and complete balance, it is not a thermodynamic theorem. It can motivate the investigation without deciding its result.</w:t>
      </w:r>
    </w:p>
    <w:p>
      <w:pPr/>
      <w:r>
        <w:rPr/>
        <w:t>The cosmic scale changes what can be asked. It does not relieve us of showing how an answer was obtained. Connection remains worth investigating even where the proposed ledger cannot yet price it.</w:t>
      </w:r>
    </w:p>
    <w:p>
      <w:pPr>
        <w:pStyle w:val="Heading2"/>
        <w:pageBreakBefore/>
        <w:spacing w:before="280" w:after="220"/>
      </w:pPr>
      <w:bookmarkStart w:id="376" w:name="v5_l538"/>
      <w:r>
        <w:rPr>
          <w:sz w:val="36"/>
        </w:rPr>
        <w:t>References for Chapters 2 and 3</w:t>
      </w:r>
      <w:bookmarkEnd w:id="376"/>
    </w:p>
    <w:p>
      <w:pPr>
        <w:pStyle w:val="Reference"/>
      </w:pPr>
      <w:r>
        <w:rPr/>
        <w:t>Primary-source checks were performed on 28 October 2026. Version dates below refer to repository metadata, not regenerated HTML display dates. The source access notes below record the inspection limits and unresolved census discrepancy. A citation supports its stated physical result, not the relational framework.</w:t>
      </w:r>
    </w:p>
    <w:p>
      <w:pPr>
        <w:pStyle w:val="ListBullet"/>
      </w:pPr>
      <w:r>
        <w:rPr>
          <w:b/>
        </w:rPr>
        <w:t>C01.</w:t>
      </w:r>
      <w:r>
        <w:rPr/>
        <w:t xml:space="preserve"> Egan, C. A., and Lineweaver, C. H. 2010. </w:t>
      </w:r>
      <w:r>
        <w:rPr>
          <w:i/>
        </w:rPr>
        <w:t>A Larger Estimate of the Entropy of the Universe</w:t>
      </w:r>
      <w:r>
        <w:rPr/>
        <w:t xml:space="preserve">. Astrophysical Journal 710, 1825–1834. </w:t>
      </w:r>
      <w:hyperlink r:id="rId185">
        <w:r>
          <w:rPr>
            <w:color w:val="000000"/>
            <w:u w:val="single"/>
          </w:rPr>
          <w:t xml:space="preserve">arXiv 0909.3983v3</w:t>
        </w:r>
      </w:hyperlink>
      <w:r>
        <w:rPr/>
        <w:t>. Historical inventories, Tables 1 and 2; distinct accounting boundaries.</w:t>
      </w:r>
    </w:p>
    <w:p>
      <w:pPr>
        <w:pStyle w:val="ListBullet"/>
      </w:pPr>
      <w:r>
        <w:rPr>
          <w:b/>
        </w:rPr>
        <w:t>C02.</w:t>
      </w:r>
      <w:r>
        <w:rPr/>
        <w:t xml:space="preserve"> Profumo, S., Colombo-Murphy, L., Huckabee, G., Diaz Svensson, M., Garg, S., Kollipara, I., and Weber, A. 2025. </w:t>
      </w:r>
      <w:r>
        <w:rPr>
          <w:i/>
        </w:rPr>
        <w:t>A New Census of the Universe's Entropy</w:t>
      </w:r>
      <w:r>
        <w:rPr/>
        <w:t xml:space="preserve">. JCAP 09, 049. </w:t>
      </w:r>
      <w:hyperlink r:id="rId186">
        <w:r>
          <w:rPr>
            <w:color w:val="000000"/>
            <w:u w:val="single"/>
          </w:rPr>
          <w:t xml:space="preserve">arXiv 2412.11282v2</w:t>
        </w:r>
      </w:hyperlink>
      <w:r>
        <w:rPr/>
        <w:t xml:space="preserve">; </w:t>
      </w:r>
      <w:hyperlink r:id="rId187">
        <w:r>
          <w:rPr>
            <w:color w:val="000000"/>
            <w:u w:val="single"/>
          </w:rPr>
          <w:t xml:space="preserve">publisher</w:t>
        </w:r>
      </w:hyperlink>
      <w:r>
        <w:rPr/>
        <w:t>. Broadened census and hypothetical dark sectors; unreconciled black-hole table versus equation values.</w:t>
      </w:r>
    </w:p>
    <w:p>
      <w:pPr>
        <w:pStyle w:val="ListBullet"/>
      </w:pPr>
      <w:r>
        <w:rPr>
          <w:b/>
        </w:rPr>
        <w:t>C03.</w:t>
      </w:r>
      <w:r>
        <w:rPr/>
        <w:t xml:space="preserve"> Chen, S., Jani, K., and Kephart, T. W. 2026. </w:t>
      </w:r>
      <w:r>
        <w:rPr>
          <w:i/>
        </w:rPr>
        <w:t>Cosmological Budget of Entropy from Merging Black Holes</w:t>
      </w:r>
      <w:r>
        <w:rPr/>
        <w:t xml:space="preserve">. </w:t>
      </w:r>
      <w:hyperlink r:id="rId188">
        <w:r>
          <w:rPr>
            <w:color w:val="000000"/>
            <w:u w:val="single"/>
          </w:rPr>
          <w:t xml:space="preserve">arXiv 2601.13621v1</w:t>
        </w:r>
      </w:hyperlink>
      <w:r>
        <w:rPr/>
        <w:t>, submitted 20 January. Population-model result, not a direct high-redshift entropy measurement.</w:t>
      </w:r>
    </w:p>
    <w:p>
      <w:pPr>
        <w:pStyle w:val="ListBullet"/>
      </w:pPr>
      <w:r>
        <w:rPr>
          <w:b/>
        </w:rPr>
        <w:t>C04.</w:t>
      </w:r>
      <w:r>
        <w:rPr/>
        <w:t xml:space="preserve"> Bekenstein, J. D. 1981. </w:t>
      </w:r>
      <w:r>
        <w:rPr>
          <w:i/>
        </w:rPr>
        <w:t>Universal upper bound on the entropy-to-energy ratio for bounded systems</w:t>
      </w:r>
      <w:r>
        <w:rPr/>
        <w:t xml:space="preserve">. Physical Review D 23, 287–298. </w:t>
      </w:r>
      <w:hyperlink r:id="rId189">
        <w:r>
          <w:rPr>
            <w:color w:val="000000"/>
            <w:u w:val="single"/>
          </w:rPr>
          <w:t xml:space="preserve">Primary article</w:t>
        </w:r>
      </w:hyperlink>
      <w:r>
        <w:rPr/>
        <w:t>. Bounded-system entropy-to-energy result and its self-gravity assumptions.</w:t>
      </w:r>
    </w:p>
    <w:p>
      <w:pPr>
        <w:pStyle w:val="ListBullet"/>
      </w:pPr>
      <w:r>
        <w:rPr>
          <w:b/>
        </w:rPr>
        <w:t>C05.</w:t>
      </w:r>
      <w:r>
        <w:rPr/>
        <w:t xml:space="preserve"> Bekenstein, J. D. 1973. </w:t>
      </w:r>
      <w:r>
        <w:rPr>
          <w:i/>
        </w:rPr>
        <w:t>Black Holes and Entropy</w:t>
      </w:r>
      <w:r>
        <w:rPr/>
        <w:t xml:space="preserve">. </w:t>
      </w:r>
      <w:hyperlink r:id="rId190">
        <w:r>
          <w:rPr>
            <w:color w:val="000000"/>
            <w:u w:val="single"/>
          </w:rPr>
          <w:t xml:space="preserve">Physical Review D 7, 2333</w:t>
        </w:r>
      </w:hyperlink>
      <w:r>
        <w:rPr/>
        <w:t xml:space="preserve">; Hawking, S. W. 1975. </w:t>
      </w:r>
      <w:r>
        <w:rPr>
          <w:i/>
        </w:rPr>
        <w:t>Particle creation by black holes</w:t>
      </w:r>
      <w:r>
        <w:rPr/>
        <w:t xml:space="preserve">. </w:t>
      </w:r>
      <w:hyperlink r:id="rId191">
        <w:r>
          <w:rPr>
            <w:color w:val="000000"/>
            <w:u w:val="single"/>
          </w:rPr>
          <w:t xml:space="preserve">Communications in Mathematical Physics 43, 199–220</w:t>
        </w:r>
      </w:hyperlink>
      <w:r>
        <w:rPr/>
        <w:t>. Historical primary pair underlying semiclassical black-hole entropy and temperature; not an evaporation experiment.</w:t>
      </w:r>
    </w:p>
    <w:p>
      <w:pPr>
        <w:pStyle w:val="ListBullet"/>
      </w:pPr>
      <w:r>
        <w:rPr>
          <w:b/>
        </w:rPr>
        <w:t>C06.</w:t>
      </w:r>
      <w:r>
        <w:rPr/>
        <w:t xml:space="preserve"> Gibbons, G. W., and Hawking, S. W. 1977. </w:t>
      </w:r>
      <w:r>
        <w:rPr>
          <w:i/>
        </w:rPr>
        <w:t>Cosmological event horizons, thermodynamics, and particle creation</w:t>
      </w:r>
      <w:r>
        <w:rPr/>
        <w:t xml:space="preserve">. </w:t>
      </w:r>
      <w:hyperlink r:id="rId192">
        <w:r>
          <w:rPr>
            <w:color w:val="000000"/>
            <w:u w:val="single"/>
          </w:rPr>
          <w:t xml:space="preserve">Physical Review D 15, 2738–2751</w:t>
        </w:r>
      </w:hyperlink>
      <w:r>
        <w:rPr/>
        <w:t>. Cosmological horizons in the stated positive-Λ setting.</w:t>
      </w:r>
    </w:p>
    <w:p>
      <w:pPr>
        <w:pStyle w:val="ListBullet"/>
      </w:pPr>
      <w:r>
        <w:rPr>
          <w:b/>
        </w:rPr>
        <w:t>C07.</w:t>
      </w:r>
      <w:r>
        <w:rPr/>
        <w:t xml:space="preserve"> Bousso, R. 1999. </w:t>
      </w:r>
      <w:r>
        <w:rPr>
          <w:i/>
        </w:rPr>
        <w:t>A Covariant Entropy Conjecture</w:t>
      </w:r>
      <w:r>
        <w:rPr/>
        <w:t xml:space="preserve">. </w:t>
      </w:r>
      <w:hyperlink r:id="rId193">
        <w:r>
          <w:rPr>
            <w:color w:val="000000"/>
            <w:u w:val="single"/>
          </w:rPr>
          <w:t xml:space="preserve">arXiv hep-th/9905177</w:t>
        </w:r>
      </w:hyperlink>
      <w:r>
        <w:rPr/>
        <w:t>; JHEP 07, 004. Entropy on suitable light sheets, not an unrestricted spacelike-volume rule.</w:t>
      </w:r>
    </w:p>
    <w:p>
      <w:pPr>
        <w:pStyle w:val="ListBullet"/>
      </w:pPr>
      <w:r>
        <w:rPr>
          <w:b/>
        </w:rPr>
        <w:t>C08.</w:t>
      </w:r>
      <w:r>
        <w:rPr/>
        <w:t xml:space="preserve"> Chandrasekaran, V., Longo, R., Penington, G., and Witten, E. 2023. </w:t>
      </w:r>
      <w:r>
        <w:rPr>
          <w:i/>
        </w:rPr>
        <w:t>An Algebra of Observables for de Sitter Space</w:t>
      </w:r>
      <w:r>
        <w:rPr/>
        <w:t xml:space="preserve">. </w:t>
      </w:r>
      <w:hyperlink r:id="rId194">
        <w:r>
          <w:rPr>
            <w:color w:val="000000"/>
            <w:u w:val="single"/>
          </w:rPr>
          <w:t xml:space="preserve">arXiv 2206.10780v5</w:t>
        </w:r>
      </w:hyperlink>
      <w:r>
        <w:rPr/>
        <w:t>; JHEP 02, 082. Observer-dressed static-patch construction and generalized entropy, with an additive normalization constant.</w:t>
      </w:r>
    </w:p>
    <w:p>
      <w:pPr>
        <w:pStyle w:val="ListBullet"/>
      </w:pPr>
      <w:r>
        <w:rPr>
          <w:b/>
        </w:rPr>
        <w:t>C09.</w:t>
      </w:r>
      <w:r>
        <w:rPr/>
        <w:t xml:space="preserve"> Buoninfante, L., Luciano, G. G., Petruzziello, L., and Scardigli, F. 2022. </w:t>
      </w:r>
      <w:r>
        <w:rPr>
          <w:i/>
        </w:rPr>
        <w:t>Bekenstein bound and uncertainty relations</w:t>
      </w:r>
      <w:r>
        <w:rPr/>
        <w:t xml:space="preserve">. </w:t>
      </w:r>
      <w:hyperlink r:id="rId195">
        <w:r>
          <w:rPr>
            <w:color w:val="000000"/>
            <w:u w:val="single"/>
          </w:rPr>
          <w:t xml:space="preserve">arXiv 2009.12530v2</w:t>
        </w:r>
      </w:hyperlink>
      <w:r>
        <w:rPr/>
        <w:t>; Physics Letters B 824, 136818. Conditional thermodynamic argument and deformation-dependent generalizations.</w:t>
      </w:r>
    </w:p>
    <w:p>
      <w:pPr>
        <w:pStyle w:val="ListBullet"/>
      </w:pPr>
      <w:r>
        <w:rPr>
          <w:b/>
        </w:rPr>
        <w:t>C10.</w:t>
      </w:r>
      <w:r>
        <w:rPr/>
        <w:t xml:space="preserve"> Volovik, G. E. 2024. </w:t>
      </w:r>
      <w:r>
        <w:rPr>
          <w:i/>
        </w:rPr>
        <w:t>Thermodynamics and decay of de Sitter vacuum</w:t>
      </w:r>
      <w:r>
        <w:rPr/>
        <w:t xml:space="preserve">. </w:t>
      </w:r>
      <w:hyperlink r:id="rId196">
        <w:r>
          <w:rPr>
            <w:color w:val="000000"/>
            <w:u w:val="single"/>
          </w:rPr>
          <w:t xml:space="preserve">arXiv 2312.02292v16</w:t>
        </w:r>
      </w:hyperlink>
      <w:r>
        <w:rPr/>
        <w:t>; Symmetry 16, 763. Proposed local de Sitter thermodynamics; not universal dimensional necessity.</w:t>
      </w:r>
    </w:p>
    <w:p>
      <w:pPr>
        <w:pStyle w:val="ListBullet"/>
      </w:pPr>
      <w:r>
        <w:rPr>
          <w:b/>
        </w:rPr>
        <w:t>C11.</w:t>
      </w:r>
      <w:r>
        <w:rPr/>
        <w:t xml:space="preserve"> Crooks, G. E. 1999. </w:t>
      </w:r>
      <w:r>
        <w:rPr>
          <w:i/>
        </w:rPr>
        <w:t>The Entropy Production Fluctuation Theorem and the Nonequilibrium Work Relation for Free Energy Differences</w:t>
      </w:r>
      <w:r>
        <w:rPr/>
        <w:t xml:space="preserve">. </w:t>
      </w:r>
      <w:hyperlink r:id="rId197">
        <w:r>
          <w:rPr>
            <w:color w:val="000000"/>
            <w:u w:val="single"/>
          </w:rPr>
          <w:t xml:space="preserve">arXiv cond-mat/9901352v4</w:t>
        </w:r>
      </w:hyperlink>
      <w:r>
        <w:rPr/>
        <w:t>; Physical Review E 60, 2721. Specified stochastic microscopically reversible dynamics and work/free-energy relations.</w:t>
      </w:r>
    </w:p>
    <w:p>
      <w:pPr>
        <w:pStyle w:val="ListBullet"/>
      </w:pPr>
      <w:r>
        <w:rPr>
          <w:b/>
        </w:rPr>
        <w:t>C12.</w:t>
      </w:r>
      <w:r>
        <w:rPr/>
        <w:t xml:space="preserve"> Lees, J. P., et al., BABAR Collaboration. 2012. </w:t>
      </w:r>
      <w:r>
        <w:rPr>
          <w:i/>
        </w:rPr>
        <w:t xml:space="preserve">Observation of Time-Reversal Violation in the </w:t>
      </w:r>
      <m:oMath>
        <m:sSup>
          <m:e>
            <m:r>
              <m:rPr>
                <m:sty m:val="i"/>
              </m:rPr>
              <w:rPr>
                <w:rFonts w:ascii="Latin Modern Math" w:hAnsi="Latin Modern Math"/>
              </w:rPr>
              <m:t xml:space="preserve">B</m:t>
            </m:r>
          </m:e>
          <m:sup>
            <m:r>
              <m:rPr>
                <m:nor m:val="1"/>
                <m:sty m:val="p"/>
              </m:rPr>
              <w:rPr>
                <w:rFonts w:ascii="Latin Modern Math" w:hAnsi="Latin Modern Math"/>
              </w:rPr>
              <m:t xml:space="preserve">0</m:t>
            </m:r>
          </m:sup>
        </m:sSup>
      </m:oMath>
      <w:r>
        <w:rPr>
          <w:i/>
        </w:rPr>
        <w:t xml:space="preserve"> Meson System</w:t>
      </w:r>
      <w:r>
        <w:rPr/>
        <w:t xml:space="preserve">. </w:t>
      </w:r>
      <w:hyperlink r:id="rId198">
        <w:r>
          <w:rPr>
            <w:color w:val="000000"/>
            <w:u w:val="single"/>
          </w:rPr>
          <w:t xml:space="preserve">arXiv 1207.5832</w:t>
        </w:r>
      </w:hyperlink>
      <w:r>
        <w:rPr/>
        <w:t>; Physical Review Letters 109, 211801. Counterexample to universal microscopic time-reversal invariance.</w:t>
      </w:r>
    </w:p>
    <w:p>
      <w:pPr>
        <w:pStyle w:val="ListBullet"/>
      </w:pPr>
      <w:r>
        <w:rPr>
          <w:b/>
        </w:rPr>
        <w:t>C13.</w:t>
      </w:r>
      <w:r>
        <w:rPr/>
        <w:t xml:space="preserve"> Carroll, S. M., and Chen, J. 2004. </w:t>
      </w:r>
      <w:r>
        <w:rPr>
          <w:i/>
        </w:rPr>
        <w:t>Spontaneous Inflation and the Origin of the Arrow of Time</w:t>
      </w:r>
      <w:r>
        <w:rPr/>
        <w:t xml:space="preserve">. </w:t>
      </w:r>
      <w:hyperlink r:id="rId199">
        <w:r>
          <w:rPr>
            <w:color w:val="000000"/>
            <w:u w:val="single"/>
          </w:rPr>
          <w:t xml:space="preserve">arXiv hep-th/0410270v1</w:t>
        </w:r>
      </w:hyperlink>
      <w:r>
        <w:rPr/>
        <w:t>. Proposed cosmological account, not a settled origin of initial conditions.</w:t>
      </w:r>
    </w:p>
    <w:p>
      <w:pPr>
        <w:pStyle w:val="ListBullet"/>
      </w:pPr>
      <w:r>
        <w:rPr>
          <w:b/>
        </w:rPr>
        <w:t>C14.</w:t>
      </w:r>
      <w:r>
        <w:rPr/>
        <w:t xml:space="preserve"> Al-Khalili, J., and Chen, E. K. 2024. </w:t>
      </w:r>
      <w:r>
        <w:rPr>
          <w:i/>
        </w:rPr>
        <w:t>The Decoherent Arrow of Time and the Entanglement Past Hypothesis</w:t>
      </w:r>
      <w:r>
        <w:rPr/>
        <w:t xml:space="preserve">. </w:t>
      </w:r>
      <w:hyperlink r:id="rId200">
        <w:r>
          <w:rPr>
            <w:color w:val="000000"/>
            <w:u w:val="single"/>
          </w:rPr>
          <w:t xml:space="preserve">arXiv 2405.03418v1</w:t>
        </w:r>
      </w:hyperlink>
      <w:r>
        <w:rPr/>
        <w:t>; Foundations of Physics 54, 49. Low-entanglement boundary-condition proposal and distinctions between entropy notions.</w:t>
      </w:r>
    </w:p>
    <w:p>
      <w:pPr>
        <w:pStyle w:val="ListBullet"/>
      </w:pPr>
      <w:r>
        <w:rPr>
          <w:b/>
        </w:rPr>
        <w:t>C15.</w:t>
      </w:r>
      <w:r>
        <w:rPr/>
        <w:t xml:space="preserve"> Chen, E. K. 2022. </w:t>
      </w:r>
      <w:r>
        <w:rPr>
          <w:i/>
        </w:rPr>
        <w:t>The Wentaculus: Density Matrix Realism Meets the Arrow of Time</w:t>
      </w:r>
      <w:r>
        <w:rPr/>
        <w:t xml:space="preserve">. </w:t>
      </w:r>
      <w:hyperlink r:id="rId201">
        <w:r>
          <w:rPr>
            <w:color w:val="000000"/>
            <w:u w:val="single"/>
          </w:rPr>
          <w:t xml:space="preserve">arXiv 2211.03973v1</w:t>
        </w:r>
      </w:hyperlink>
      <w:r>
        <w:rPr/>
        <w:t>. Initial Projection Hypothesis; this is the specific account used, not the manuscript's conflated publication-and-award description.</w:t>
      </w:r>
    </w:p>
    <w:p>
      <w:pPr>
        <w:pStyle w:val="ListBullet"/>
      </w:pPr>
      <w:r>
        <w:rPr>
          <w:b/>
        </w:rPr>
        <w:t>C16.</w:t>
      </w:r>
      <w:r>
        <w:rPr/>
        <w:t xml:space="preserve"> Wallace, D. 2010. </w:t>
      </w:r>
      <w:r>
        <w:rPr>
          <w:i/>
        </w:rPr>
        <w:t>Gravity, Entropy, and Cosmology: In Search of Clarity</w:t>
      </w:r>
      <w:r>
        <w:rPr/>
        <w:t xml:space="preserve">. </w:t>
      </w:r>
      <w:hyperlink r:id="rId202">
        <w:r>
          <w:rPr>
            <w:color w:val="000000"/>
            <w:u w:val="single"/>
          </w:rPr>
          <w:t xml:space="preserve">arXiv 0907.0659v1</w:t>
        </w:r>
      </w:hyperlink>
      <w:r>
        <w:rPr/>
        <w:t>; British Journal for the Philosophy of Science 61, 513–540. Gravity's role distinguished from an entropy assigned to gravity.</w:t>
      </w:r>
    </w:p>
    <w:p>
      <w:pPr>
        <w:pStyle w:val="ListBullet"/>
      </w:pPr>
      <w:r>
        <w:rPr>
          <w:b/>
        </w:rPr>
        <w:t>C17.</w:t>
      </w:r>
      <w:r>
        <w:rPr/>
        <w:t xml:space="preserve"> D'Onofrio, M., and Rummukainen, K. 2016. </w:t>
      </w:r>
      <w:r>
        <w:rPr>
          <w:i/>
        </w:rPr>
        <w:t>The Standard Model cross-over on the lattice</w:t>
      </w:r>
      <w:r>
        <w:rPr/>
        <w:t xml:space="preserve">. </w:t>
      </w:r>
      <w:hyperlink r:id="rId203">
        <w:r>
          <w:rPr>
            <w:color w:val="000000"/>
            <w:u w:val="single"/>
          </w:rPr>
          <w:t xml:space="preserve">arXiv 1508.07161v1</w:t>
        </w:r>
      </w:hyperlink>
      <w:r>
        <w:rPr/>
        <w:t>; Physical Review D 93, 025003. Standard Model electroweak crossover at the physical Higgs mass.</w:t>
      </w:r>
    </w:p>
    <w:p>
      <w:pPr>
        <w:pStyle w:val="ListBullet"/>
      </w:pPr>
      <w:r>
        <w:rPr>
          <w:b/>
        </w:rPr>
        <w:t>C18.</w:t>
      </w:r>
      <w:r>
        <w:rPr/>
        <w:t xml:space="preserve"> Planck Collaboration, Aghanim, N., et al. 2020. </w:t>
      </w:r>
      <w:r>
        <w:rPr>
          <w:i/>
        </w:rPr>
        <w:t>Planck 2018 results VI Cosmological parameters</w:t>
      </w:r>
      <w:r>
        <w:rPr/>
        <w:t xml:space="preserve">. </w:t>
      </w:r>
      <w:hyperlink r:id="rId204">
        <w:r>
          <w:rPr>
            <w:color w:val="000000"/>
            <w:u w:val="single"/>
          </w:rPr>
          <w:t xml:space="preserve">arXiv 1807.06209v4</w:t>
        </w:r>
      </w:hyperlink>
      <w:r>
        <w:rPr/>
        <w:t>; Astronomy and Astrophysics 641, A6, with correction. Baseline ΛCDM density parameters, not entropy fractions.</w:t>
      </w:r>
    </w:p>
    <w:p>
      <w:pPr>
        <w:pStyle w:val="ListBullet"/>
      </w:pPr>
      <w:r>
        <w:rPr>
          <w:b/>
        </w:rPr>
        <w:t>C19.</w:t>
      </w:r>
      <w:r>
        <w:rPr/>
        <w:t xml:space="preserve"> Carr, B. J., and Hawking, S. W. 1974. </w:t>
      </w:r>
      <w:r>
        <w:rPr>
          <w:i/>
        </w:rPr>
        <w:t>Black Holes in the Early Universe</w:t>
      </w:r>
      <w:r>
        <w:rPr/>
        <w:t xml:space="preserve">. </w:t>
      </w:r>
      <w:hyperlink r:id="rId205">
        <w:r>
          <w:rPr>
            <w:color w:val="000000"/>
            <w:u w:val="single"/>
          </w:rPr>
          <w:t xml:space="preserve">Monthly Notices of the Royal Astronomical Society 168, 399–415</w:t>
        </w:r>
      </w:hyperlink>
      <w:r>
        <w:rPr/>
        <w:t>. Early-universe collapse and radiation-era evolution; not prethermal pre-existence.</w:t>
      </w:r>
    </w:p>
    <w:p>
      <w:pPr>
        <w:pStyle w:val="ListBullet"/>
      </w:pPr>
      <w:r>
        <w:rPr>
          <w:b/>
        </w:rPr>
        <w:t>C20.</w:t>
      </w:r>
      <w:r>
        <w:rPr/>
        <w:t xml:space="preserve"> DESI Collaboration, Adame, A. G., et al. 2024. </w:t>
      </w:r>
      <w:r>
        <w:rPr>
          <w:i/>
        </w:rPr>
        <w:t>DESI 2024 VI Cosmological Constraints from the Measurements of Baryon Acoustic Oscillations</w:t>
      </w:r>
      <w:r>
        <w:rPr/>
        <w:t xml:space="preserve">. </w:t>
      </w:r>
      <w:hyperlink r:id="rId206">
        <w:r>
          <w:rPr>
            <w:color w:val="000000"/>
            <w:u w:val="single"/>
          </w:rPr>
          <w:t xml:space="preserve">arXiv 2404.03002v3</w:t>
        </w:r>
      </w:hyperlink>
      <w:r>
        <w:rPr/>
        <w:t>, revised 4 November 2024. Dataset-dependent dark-energy model comparisons.</w:t>
      </w:r>
    </w:p>
    <w:p>
      <w:pPr>
        <w:pStyle w:val="ListBullet"/>
      </w:pPr>
      <w:r>
        <w:rPr>
          <w:b/>
        </w:rPr>
        <w:t>C21.</w:t>
      </w:r>
      <w:r>
        <w:rPr/>
        <w:t xml:space="preserve"> DESI Collaboration, Abdul Karim, M., et al. 2025. </w:t>
      </w:r>
      <w:r>
        <w:rPr>
          <w:i/>
        </w:rPr>
        <w:t>DESI DR2 Results II Measurements of Baryon Acoustic Oscillations and Cosmological Constraints</w:t>
      </w:r>
      <w:r>
        <w:rPr/>
        <w:t xml:space="preserve">. </w:t>
      </w:r>
      <w:hyperlink r:id="rId207">
        <w:r>
          <w:rPr>
            <w:color w:val="000000"/>
            <w:u w:val="single"/>
          </w:rPr>
          <w:t xml:space="preserve">arXiv 2503.14738v3</w:t>
        </w:r>
      </w:hyperlink>
      <w:r>
        <w:rPr/>
        <w:t>, revised 9 October 2025. Section VII and Table 6; stated external datasets required.</w:t>
      </w:r>
    </w:p>
    <w:p>
      <w:pPr>
        <w:pStyle w:val="ListBullet"/>
      </w:pPr>
      <w:r>
        <w:rPr>
          <w:b/>
        </w:rPr>
        <w:t>C22.</w:t>
      </w:r>
      <w:r>
        <w:rPr/>
        <w:t xml:space="preserve"> DESI Collaboration, Adame, A. G., et al. 2026. </w:t>
      </w:r>
      <w:r>
        <w:rPr>
          <w:i/>
        </w:rPr>
        <w:t>DESI DR2 Results IV Alcock–Paczyński Measurements from the Lyman Alpha Forest and Cosmological Constraints</w:t>
      </w:r>
      <w:r>
        <w:rPr/>
        <w:t xml:space="preserve">. </w:t>
      </w:r>
      <w:hyperlink r:id="rId208">
        <w:r>
          <w:rPr>
            <w:color w:val="000000"/>
            <w:u w:val="single"/>
          </w:rPr>
          <w:t xml:space="preserve">arXiv 2607.27410v3</w:t>
        </w:r>
      </w:hyperlink>
      <w:r>
        <w:rPr/>
        <w:t xml:space="preserve">, submitted 29 July, revised 4 August 2026. Section VI.4.1, Table 4 and updated external-data combinations. The collaboration's </w:t>
      </w:r>
      <w:hyperlink r:id="rId209">
        <w:r>
          <w:rPr>
            <w:color w:val="000000"/>
            <w:u w:val="single"/>
          </w:rPr>
          <w:t xml:space="preserve">announcement</w:t>
        </w:r>
      </w:hyperlink>
      <w:r>
        <w:rPr/>
        <w:t xml:space="preserve"> is dated 30 July; the paper, not that announcement, supplies the quantitative citation.</w:t>
      </w:r>
    </w:p>
    <w:p>
      <w:pPr>
        <w:pStyle w:val="ListBullet"/>
      </w:pPr>
      <w:r>
        <w:rPr>
          <w:b/>
        </w:rPr>
        <w:t>C23.</w:t>
      </w:r>
      <w:r>
        <w:rPr/>
        <w:t xml:space="preserve"> Davis, T. M., and Lineweaver, C. H. 2004. </w:t>
      </w:r>
      <w:r>
        <w:rPr>
          <w:i/>
        </w:rPr>
        <w:t>Expanding Confusion Common Misconceptions of Cosmological Horizons and the Superluminal Expansion of the Universe</w:t>
      </w:r>
      <w:r>
        <w:rPr/>
        <w:t xml:space="preserve">. </w:t>
      </w:r>
      <w:hyperlink r:id="rId210">
        <w:r>
          <w:rPr>
            <w:color w:val="000000"/>
            <w:u w:val="single"/>
          </w:rPr>
          <w:t xml:space="preserve">arXiv astro-ph/0310808v2</w:t>
        </w:r>
      </w:hyperlink>
      <w:r>
        <w:rPr/>
        <w:t>; Publications of the Astronomical Society of Australia 21, 97–109. Distinct horizons and light-cone interpretation in FLRW cosmology.</w:t>
      </w:r>
    </w:p>
    <w:p>
      <w:pPr>
        <w:pStyle w:val="ListBullet"/>
      </w:pPr>
      <w:r>
        <w:rPr>
          <w:b/>
        </w:rPr>
        <w:t>C24.</w:t>
      </w:r>
      <w:r>
        <w:rPr/>
        <w:t xml:space="preserve"> Caldwell, R. R., Kamionkowski, M., and Weinberg, N. N. 2003. </w:t>
      </w:r>
      <w:r>
        <w:rPr>
          <w:i/>
        </w:rPr>
        <w:t>Phantom Energy and Cosmic Doomsday</w:t>
      </w:r>
      <w:r>
        <w:rPr/>
        <w:t xml:space="preserve">. </w:t>
      </w:r>
      <w:hyperlink r:id="rId211">
        <w:r>
          <w:rPr>
            <w:color w:val="000000"/>
            <w:u w:val="single"/>
          </w:rPr>
          <w:t xml:space="preserve">arXiv astro-ph/0302506</w:t>
        </w:r>
      </w:hyperlink>
      <w:r>
        <w:rPr/>
        <w:t>; Physical Review Letters 91, 071301. Conditional phantom-energy Big Rip model.</w:t>
      </w:r>
    </w:p>
    <w:p>
      <w:pPr>
        <w:pStyle w:val="ListBullet"/>
      </w:pPr>
      <w:r>
        <w:rPr>
          <w:b/>
        </w:rPr>
        <w:t>C25.</w:t>
      </w:r>
      <w:r>
        <w:rPr/>
        <w:t xml:space="preserve"> Adams, F. C., and Laughlin, G. 1997. </w:t>
      </w:r>
      <w:r>
        <w:rPr>
          <w:i/>
        </w:rPr>
        <w:t>A Dying Universe The Long Term Fate and Evolution of Astrophysical Objects</w:t>
      </w:r>
      <w:r>
        <w:rPr/>
        <w:t xml:space="preserve">. </w:t>
      </w:r>
      <w:hyperlink r:id="rId212">
        <w:r>
          <w:rPr>
            <w:color w:val="000000"/>
            <w:u w:val="single"/>
          </w:rPr>
          <w:t xml:space="preserve">arXiv astro-ph/9701131</w:t>
        </w:r>
      </w:hyperlink>
      <w:r>
        <w:rPr/>
        <w:t>; Reviews of Modern Physics 69, 337–372. Conditional astrophysical futures, not a measured heat-death date.</w:t>
      </w:r>
    </w:p>
    <w:p>
      <w:pPr>
        <w:pStyle w:val="ListBullet"/>
      </w:pPr>
      <w:r>
        <w:rPr>
          <w:b/>
        </w:rPr>
        <w:t>C26.</w:t>
      </w:r>
      <w:r>
        <w:rPr/>
        <w:t xml:space="preserve"> Almheiri, A., Engelhardt, N., Marolf, D., and Maxfield, H. 2019. </w:t>
      </w:r>
      <w:r>
        <w:rPr>
          <w:i/>
        </w:rPr>
        <w:t>The entropy of bulk quantum fields and the entanglement wedge of an evaporating black hole</w:t>
      </w:r>
      <w:r>
        <w:rPr/>
        <w:t xml:space="preserve">. </w:t>
      </w:r>
      <w:hyperlink r:id="rId213">
        <w:r>
          <w:rPr>
            <w:color w:val="000000"/>
            <w:u w:val="single"/>
          </w:rPr>
          <w:t xml:space="preserve">arXiv 1905.08762v3</w:t>
        </w:r>
      </w:hyperlink>
      <w:r>
        <w:rPr/>
        <w:t>; JHEP 12, 063. Two-dimensional model and quantum extremal surfaces.</w:t>
      </w:r>
    </w:p>
    <w:p>
      <w:pPr>
        <w:pStyle w:val="ListBullet"/>
      </w:pPr>
      <w:r>
        <w:rPr>
          <w:b/>
        </w:rPr>
        <w:t>C27.</w:t>
      </w:r>
      <w:r>
        <w:rPr/>
        <w:t xml:space="preserve"> Penington, G. 2020. </w:t>
      </w:r>
      <w:r>
        <w:rPr>
          <w:i/>
        </w:rPr>
        <w:t>Entanglement Wedge Reconstruction and the Information Paradox</w:t>
      </w:r>
      <w:r>
        <w:rPr/>
        <w:t xml:space="preserve">. </w:t>
      </w:r>
      <w:hyperlink r:id="rId214">
        <w:r>
          <w:rPr>
            <w:color w:val="000000"/>
            <w:u w:val="single"/>
          </w:rPr>
          <w:t xml:space="preserve">arXiv 1905.08255v3</w:t>
        </w:r>
      </w:hyperlink>
      <w:r>
        <w:rPr/>
        <w:t>; JHEP 09, 002. AdS/CFT evaporation and reconstruction under stated assumptions.</w:t>
      </w:r>
    </w:p>
    <w:p>
      <w:pPr>
        <w:pStyle w:val="ListBullet"/>
      </w:pPr>
      <w:r>
        <w:rPr>
          <w:b/>
        </w:rPr>
        <w:t>C28.</w:t>
      </w:r>
      <w:r>
        <w:rPr/>
        <w:t xml:space="preserve"> Cortês, M., and Liddle, A. R. 2024. </w:t>
      </w:r>
      <w:r>
        <w:rPr>
          <w:i/>
        </w:rPr>
        <w:t>Hawking evaporation and the Landauer Principle</w:t>
      </w:r>
      <w:r>
        <w:rPr/>
        <w:t xml:space="preserve">. </w:t>
      </w:r>
      <w:hyperlink r:id="rId215">
        <w:r>
          <w:rPr>
            <w:color w:val="000000"/>
            <w:u w:val="single"/>
          </w:rPr>
          <w:t xml:space="preserve">arXiv 2407.08777v2</w:t>
        </w:r>
      </w:hyperlink>
      <w:r>
        <w:rPr/>
        <w:t>, revised 12 August 2024. Section II theoretical Schwarzschild calculation; the prior V501 correction remains in force.</w:t>
      </w:r>
    </w:p>
    <w:p>
      <w:pPr>
        <w:pStyle w:val="ListBullet"/>
      </w:pPr>
      <w:r>
        <w:rPr>
          <w:b/>
        </w:rPr>
        <w:t>C29.</w:t>
      </w:r>
      <w:r>
        <w:rPr/>
        <w:t xml:space="preserve"> Trivedi, O. 2024. </w:t>
      </w:r>
      <w:r>
        <w:rPr>
          <w:i/>
        </w:rPr>
        <w:t>Landauer's principle and information at the cosmological horizon</w:t>
      </w:r>
      <w:r>
        <w:rPr/>
        <w:t xml:space="preserve">. </w:t>
      </w:r>
      <w:hyperlink r:id="rId216">
        <w:r>
          <w:rPr>
            <w:color w:val="000000"/>
            <w:u w:val="single"/>
          </w:rPr>
          <w:t xml:space="preserve">arXiv 2407.15231v3</w:t>
        </w:r>
      </w:hyperlink>
      <w:r>
        <w:rPr/>
        <w:t>, revised 25 December 2024. Apparent-horizon construction and its interpretation, not experimental falsification of Landauer erasure.</w:t>
      </w:r>
    </w:p>
    <w:p>
      <w:pPr>
        <w:pStyle w:val="ListBullet"/>
      </w:pPr>
      <w:r>
        <w:rPr>
          <w:b/>
        </w:rPr>
        <w:t>C30.</w:t>
      </w:r>
      <w:r>
        <w:rPr/>
        <w:t xml:space="preserve"> Odintsov, S. D., Paul, T., and SenGupta, S. 2025 version. </w:t>
      </w:r>
      <w:r>
        <w:rPr>
          <w:i/>
        </w:rPr>
        <w:t>Natural validation of the second law of thermodynamics in cosmology</w:t>
      </w:r>
      <w:r>
        <w:rPr/>
        <w:t xml:space="preserve">. </w:t>
      </w:r>
      <w:hyperlink r:id="rId217">
        <w:r>
          <w:rPr>
            <w:color w:val="000000"/>
            <w:u w:val="single"/>
          </w:rPr>
          <w:t xml:space="preserve">arXiv 2409.05009v2</w:t>
        </w:r>
      </w:hyperlink>
      <w:r>
        <w:rPr/>
        <w:t>, revised 4 February 2025. Apparent-horizon/matter-temperature model, not a universal horizon theorem.</w:t>
      </w:r>
    </w:p>
    <w:p>
      <w:pPr>
        <w:pStyle w:val="ListBullet"/>
      </w:pPr>
      <w:r>
        <w:rPr>
          <w:b/>
        </w:rPr>
        <w:t>C31.</w:t>
      </w:r>
      <w:r>
        <w:rPr/>
        <w:t xml:space="preserve"> Bennett, C. H. 1973. </w:t>
      </w:r>
      <w:r>
        <w:rPr>
          <w:i/>
        </w:rPr>
        <w:t>Logical Reversibility of Computation</w:t>
      </w:r>
      <w:r>
        <w:rPr/>
        <w:t xml:space="preserve">. </w:t>
      </w:r>
      <w:hyperlink r:id="rId30">
        <w:r>
          <w:rPr>
            <w:color w:val="000000"/>
            <w:u w:val="single"/>
          </w:rPr>
          <w:t xml:space="preserve">IBM Journal of Research and Development 17, 525–532</w:t>
        </w:r>
      </w:hyperlink>
      <w:r>
        <w:rPr/>
        <w:t>. Reversible computation; no mandatory cost for each cognitive label.</w:t>
      </w:r>
    </w:p>
    <w:p>
      <w:pPr>
        <w:pStyle w:val="ListBullet"/>
      </w:pPr>
      <w:r>
        <w:rPr>
          <w:b/>
        </w:rPr>
        <w:t>C32.</w:t>
      </w:r>
      <w:r>
        <w:rPr/>
        <w:t xml:space="preserve"> Landauer, R. 1961. </w:t>
      </w:r>
      <w:r>
        <w:rPr>
          <w:i/>
        </w:rPr>
        <w:t>Irreversibility and Heat Generation in the Computing Process</w:t>
      </w:r>
      <w:r>
        <w:rPr/>
        <w:t xml:space="preserve">. </w:t>
      </w:r>
      <w:hyperlink r:id="rId22">
        <w:r>
          <w:rPr>
            <w:color w:val="000000"/>
            <w:u w:val="single"/>
          </w:rPr>
          <w:t xml:space="preserve">IBM Journal of Research and Development 5, 183–191</w:t>
        </w:r>
      </w:hyperlink>
      <w:r>
        <w:rPr/>
        <w:t>. Specified erasure, not a universal information-processing toll.</w:t>
      </w:r>
    </w:p>
    <w:p>
      <w:pPr>
        <w:pStyle w:val="ListBullet"/>
      </w:pPr>
      <w:r>
        <w:rPr>
          <w:b/>
        </w:rPr>
        <w:t>C33.</w:t>
      </w:r>
      <w:r>
        <w:rPr/>
        <w:t xml:space="preserve"> Reeb, D., and Wolf, M. M. 2014. </w:t>
      </w:r>
      <w:r>
        <w:rPr>
          <w:i/>
        </w:rPr>
        <w:t>An improved Landauer Principle with finite-size corrections</w:t>
      </w:r>
      <w:r>
        <w:rPr/>
        <w:t xml:space="preserve">. </w:t>
      </w:r>
      <w:hyperlink r:id="rId218">
        <w:r>
          <w:rPr>
            <w:color w:val="000000"/>
            <w:u w:val="single"/>
          </w:rPr>
          <w:t xml:space="preserve">arXiv 1306.4352v3</w:t>
        </w:r>
      </w:hyperlink>
      <w:r>
        <w:rPr/>
        <w:t>; New Journal of Physics 16, 103011. Explicit reservoir and correlation assumptions.</w:t>
      </w:r>
    </w:p>
    <w:p>
      <w:pPr>
        <w:pStyle w:val="ListBullet"/>
      </w:pPr>
      <w:r>
        <w:rPr>
          <w:b/>
        </w:rPr>
        <w:t>C34.</w:t>
      </w:r>
      <w:r>
        <w:rPr/>
        <w:t xml:space="preserve"> Preskill, J., Wise, M. B., and Wilczek, F. 1983. </w:t>
      </w:r>
      <w:r>
        <w:rPr>
          <w:i/>
        </w:rPr>
        <w:t>Cosmology of the invisible axion</w:t>
      </w:r>
      <w:r>
        <w:rPr/>
        <w:t xml:space="preserve">. </w:t>
      </w:r>
      <w:hyperlink r:id="rId219">
        <w:r>
          <w:rPr>
            <w:color w:val="000000"/>
            <w:u w:val="single"/>
          </w:rPr>
          <w:t xml:space="preserve">Physics Letters B 120, 127–132</w:t>
        </w:r>
      </w:hyperlink>
      <w:r>
        <w:rPr/>
        <w:t>. Nonthermal coherent-field production; not evidence that axions constitute dark matter.</w:t>
      </w:r>
    </w:p>
    <w:p>
      <w:pPr>
        <w:pStyle w:val="ListBullet"/>
      </w:pPr>
      <w:r>
        <w:rPr>
          <w:b/>
        </w:rPr>
        <w:t>C35.</w:t>
      </w:r>
      <w:r>
        <w:rPr/>
        <w:t xml:space="preserve"> Gondolo, P., and Gelmini, G. 1991. </w:t>
      </w:r>
      <w:r>
        <w:rPr>
          <w:i/>
        </w:rPr>
        <w:t>Cosmic abundances of stable particles Improved analysis</w:t>
      </w:r>
      <w:r>
        <w:rPr/>
        <w:t xml:space="preserve">. </w:t>
      </w:r>
      <w:hyperlink r:id="rId220">
        <w:r>
          <w:rPr>
            <w:color w:val="000000"/>
            <w:u w:val="single"/>
          </w:rPr>
          <w:t xml:space="preserve">Nuclear Physics B 360, 145–179</w:t>
        </w:r>
      </w:hyperlink>
      <w:r>
        <w:rPr/>
        <w:t>. Thermal relic-abundance calculation; primary full text not retrieved in this pass.</w:t>
      </w:r>
    </w:p>
    <w:p>
      <w:pPr>
        <w:pStyle w:val="ListBullet"/>
      </w:pPr>
      <w:r>
        <w:rPr>
          <w:b/>
        </w:rPr>
        <w:t>C36.</w:t>
      </w:r>
      <w:r>
        <w:rPr/>
        <w:t xml:space="preserve"> Almheiri, A., Hartman, T., Maldacena, J., Shaghoulian, E., and Tajdini, A. 2020. </w:t>
      </w:r>
      <w:r>
        <w:rPr>
          <w:i/>
        </w:rPr>
        <w:t>Replica Wormholes and the Entropy of Hawking Radiation</w:t>
      </w:r>
      <w:r>
        <w:rPr/>
        <w:t xml:space="preserve">. </w:t>
      </w:r>
      <w:hyperlink r:id="rId221">
        <w:r>
          <w:rPr>
            <w:color w:val="000000"/>
            <w:u w:val="single"/>
          </w:rPr>
          <w:t xml:space="preserve">arXiv 1911.12333v2</w:t>
        </w:r>
      </w:hyperlink>
      <w:r>
        <w:rPr/>
        <w:t>; JHEP 05, 013. Replica saddles and island rule in a controlled two-dimensional setting.</w:t>
      </w:r>
    </w:p>
    <w:p>
      <w:pPr>
        <w:pStyle w:val="Heading2"/>
        <w:pageBreakBefore/>
        <w:spacing w:before="280" w:after="220"/>
      </w:pPr>
      <w:bookmarkStart w:id="377" w:name="v5_l579"/>
      <w:r>
        <w:rPr>
          <w:sz w:val="36"/>
        </w:rPr>
        <w:t>Information and technology source notes</w:t>
      </w:r>
      <w:bookmarkEnd w:id="377"/>
    </w:p>
    <w:p>
      <w:pPr>
        <w:pStyle w:val="Reference"/>
      </w:pPr>
      <w:r>
        <w:rPr/>
        <w:t>Source notes for Chapters 4 and 5. Checked 28 October 2026. A retrieved abstract or publisher record is not represented as a full-paper review. The exact URLs below identify the material actually inspected; publication DOIs distinguish the version of record when available. These sources support bounded physical or historical claims, not the relational model as a validated theory. No source establishes a personal-survival technology or a universal biological-to-digital efficiency ratio.</w:t>
      </w:r>
    </w:p>
    <w:p>
      <w:pPr>
        <w:pStyle w:val="Heading3"/>
      </w:pPr>
      <w:bookmarkStart w:id="378" w:name="v5_l583"/>
      <w:r>
        <w:rPr>
          <w:sz w:val="26"/>
        </w:rPr>
        <w:t>I01 Hawking radiation</w:t>
      </w:r>
      <w:bookmarkEnd w:id="378"/>
    </w:p>
    <w:p>
      <w:pPr>
        <w:pStyle w:val="Reference"/>
      </w:pPr>
      <w:r>
        <w:rPr/>
        <w:t xml:space="preserve">Hawking, S. W. 1975. Particle creation by black holes. </w:t>
      </w:r>
      <w:r>
        <w:rPr>
          <w:i/>
        </w:rPr>
        <w:t>Communications in Mathematical Physics</w:t>
      </w:r>
      <w:r>
        <w:rPr/>
        <w:t xml:space="preserve"> 43, 199–220. </w:t>
      </w:r>
      <w:hyperlink r:id="rId191">
        <w:r>
          <w:rPr>
            <w:color w:val="000000"/>
            <w:u w:val="single"/>
          </w:rPr>
          <w:t xml:space="preserve">https://doi.org/10.1007/BF02345020</w:t>
        </w:r>
      </w:hyperlink>
      <w:r>
        <w:rPr/>
        <w:t>.</w:t>
      </w:r>
      <w:r>
        <w:rPr/>
        <w:t xml:space="preserve"> Original paper PDF: </w:t>
      </w:r>
      <w:hyperlink r:id="rId222">
        <w:r>
          <w:rPr>
            <w:color w:val="000000"/>
            <w:u w:val="single"/>
          </w:rPr>
          <w:t xml:space="preserve">https://projecteuclid.org/journals/communications-in-mathematical-physics/volume-43/issue-3/Particle-creation-by-black-holes/cmp/1103899181.pdf</w:t>
        </w:r>
      </w:hyperlink>
      <w:r>
        <w:rPr/>
        <w:t>.</w:t>
      </w:r>
    </w:p>
    <w:p>
      <w:pPr>
        <w:pStyle w:val="Reference"/>
      </w:pPr>
      <w:r>
        <w:rPr/>
        <w:t>Access: publisher abstract and original-paper PDF text. Use: semiclassical radiation and temperature, with stationary parameters and the approximations of the calculation. It is theoretical, not a direct astronomical measurement. The lifetime displayed in this revision is a separately labeled ideal-blackbody calculation, not a fitted result from this paper.</w:t>
      </w:r>
    </w:p>
    <w:p>
      <w:pPr>
        <w:pStyle w:val="Heading3"/>
      </w:pPr>
      <w:bookmarkStart w:id="379" w:name="v5_l589"/>
      <w:r>
        <w:rPr>
          <w:sz w:val="26"/>
        </w:rPr>
        <w:t>I02 Page radiation information</w:t>
      </w:r>
      <w:bookmarkEnd w:id="379"/>
    </w:p>
    <w:p>
      <w:pPr>
        <w:pStyle w:val="Reference"/>
      </w:pPr>
      <w:r>
        <w:rPr/>
        <w:t xml:space="preserve">Page, D. N. 1993. Information in black hole radiation. </w:t>
      </w:r>
      <w:r>
        <w:rPr>
          <w:i/>
        </w:rPr>
        <w:t>Physical Review Letters</w:t>
      </w:r>
      <w:r>
        <w:rPr/>
        <w:t xml:space="preserve"> 71, 3743–3746. </w:t>
      </w:r>
      <w:hyperlink r:id="rId223">
        <w:r>
          <w:rPr>
            <w:color w:val="000000"/>
            <w:u w:val="single"/>
          </w:rPr>
          <w:t xml:space="preserve">https://doi.org/10.1103/PhysRevLett.71.3743</w:t>
        </w:r>
      </w:hyperlink>
      <w:r>
        <w:rPr/>
        <w:t>.</w:t>
      </w:r>
      <w:r>
        <w:rPr/>
        <w:t xml:space="preserve"> </w:t>
      </w:r>
      <w:hyperlink r:id="rId224">
        <w:r>
          <w:rPr>
            <w:color w:val="000000"/>
            <w:u w:val="single"/>
          </w:rPr>
          <w:t xml:space="preserve">https://arxiv.org/abs/hep-th/9306083v2</w:t>
        </w:r>
      </w:hyperlink>
      <w:r>
        <w:rPr/>
        <w:t>.</w:t>
      </w:r>
      <w:r>
        <w:rPr/>
        <w:t xml:space="preserve"> Original-paper PDF: </w:t>
      </w:r>
      <w:hyperlink r:id="rId225">
        <w:r>
          <w:rPr>
            <w:color w:val="000000"/>
            <w:u w:val="single"/>
          </w:rPr>
          <w:t xml:space="preserve">https://harvest.aps.org/v2/journals/articles/10.1103/PhysRevLett.71.3743/fulltext</w:t>
        </w:r>
      </w:hyperlink>
      <w:r>
        <w:rPr/>
        <w:t>.</w:t>
      </w:r>
    </w:p>
    <w:p>
      <w:pPr>
        <w:pStyle w:val="Reference"/>
      </w:pPr>
      <w:r>
        <w:rPr/>
        <w:t>Access: arXiv metadata/abstract and publisher full-text extract. Use: information-release expectations conditional on unitary formation and evaporation and the statistical model. A Page curve is not itself an observed radiation record or an explicit efficient decoder.</w:t>
      </w:r>
    </w:p>
    <w:p>
      <w:pPr>
        <w:pStyle w:val="Heading3"/>
      </w:pPr>
      <w:bookmarkStart w:id="380" w:name="v5_l595"/>
      <w:r>
        <w:rPr>
          <w:sz w:val="26"/>
        </w:rPr>
        <w:t>I03 Island and radiation entropy evidence</w:t>
      </w:r>
      <w:bookmarkEnd w:id="380"/>
    </w:p>
    <w:p>
      <w:pPr>
        <w:pStyle w:val="Reference"/>
      </w:pPr>
      <w:r>
        <w:rPr/>
        <w:t xml:space="preserve">Almheiri, A., Hartman, T., Maldacena, J., Shaghoulian, E., and Tajdini, A. 2021. The entropy of Hawking radiation. </w:t>
      </w:r>
      <w:r>
        <w:rPr>
          <w:i/>
        </w:rPr>
        <w:t>Reviews of Modern Physics</w:t>
      </w:r>
      <w:r>
        <w:rPr/>
        <w:t xml:space="preserve"> 93, 035002. </w:t>
      </w:r>
      <w:hyperlink r:id="rId226">
        <w:r>
          <w:rPr>
            <w:color w:val="000000"/>
            <w:u w:val="single"/>
          </w:rPr>
          <w:t xml:space="preserve">https://doi.org/10.1103/RevModPhys.93.035002</w:t>
        </w:r>
      </w:hyperlink>
      <w:r>
        <w:rPr/>
        <w:t>.</w:t>
      </w:r>
      <w:r>
        <w:rPr/>
        <w:t xml:space="preserve"> </w:t>
      </w:r>
      <w:hyperlink r:id="rId227">
        <w:r>
          <w:rPr>
            <w:color w:val="000000"/>
            <w:u w:val="single"/>
          </w:rPr>
          <w:t xml:space="preserve">https://arxiv.org/abs/2006.06872</w:t>
        </w:r>
      </w:hyperlink>
      <w:r>
        <w:rPr/>
        <w:t>.</w:t>
      </w:r>
      <w:r>
        <w:rPr/>
        <w:t xml:space="preserve"> Accepted manuscript: </w:t>
      </w:r>
      <w:hyperlink r:id="rId228">
        <w:r>
          <w:rPr>
            <w:color w:val="000000"/>
            <w:u w:val="single"/>
          </w:rPr>
          <w:t xml:space="preserve">https://link.aps.org/accepted/10.1103/RevModPhys.93.035002</w:t>
        </w:r>
      </w:hyperlink>
      <w:r>
        <w:rPr/>
        <w:t>.</w:t>
      </w:r>
    </w:p>
    <w:p>
      <w:pPr>
        <w:pStyle w:val="Reference"/>
      </w:pPr>
      <w:r>
        <w:rPr/>
        <w:t>Access: arXiv abstract, publication metadata, and accepted-manuscript extract. Use: overview by the researchers of controlled gravitational entropy calculations consistent with unitarity. The chapter does not claim that the review proves all-realistic-black-hole decoding, final-state dynamics, or cosmological information preservation.</w:t>
      </w:r>
    </w:p>
    <w:p>
      <w:pPr>
        <w:pStyle w:val="Heading3"/>
      </w:pPr>
      <w:bookmarkStart w:id="381" w:name="v5_l601"/>
      <w:r>
        <w:rPr>
          <w:sz w:val="26"/>
        </w:rPr>
        <w:t>I04 Conditional information retrieval</w:t>
      </w:r>
      <w:bookmarkEnd w:id="381"/>
    </w:p>
    <w:p>
      <w:pPr>
        <w:pStyle w:val="Reference"/>
      </w:pPr>
      <w:r>
        <w:rPr/>
        <w:t xml:space="preserve">Hayden, P., and Preskill, J. 2007. Black holes as mirrors: quantum information in random subsystems. </w:t>
      </w:r>
      <w:r>
        <w:rPr>
          <w:i/>
        </w:rPr>
        <w:t>Journal of High Energy Physics</w:t>
      </w:r>
      <w:r>
        <w:rPr/>
        <w:t xml:space="preserve"> 2007(09), 120. </w:t>
      </w:r>
      <w:hyperlink r:id="rId229">
        <w:r>
          <w:rPr>
            <w:color w:val="000000"/>
            <w:u w:val="single"/>
          </w:rPr>
          <w:t xml:space="preserve">https://doi.org/10.1088/1126-6708/2007/09/120</w:t>
        </w:r>
      </w:hyperlink>
      <w:r>
        <w:rPr/>
        <w:t>.</w:t>
      </w:r>
      <w:r>
        <w:rPr/>
        <w:t xml:space="preserve"> </w:t>
      </w:r>
      <w:hyperlink r:id="rId230">
        <w:r>
          <w:rPr>
            <w:color w:val="000000"/>
            <w:u w:val="single"/>
          </w:rPr>
          <w:t xml:space="preserve">https://arxiv.org/abs/0708.4025</w:t>
        </w:r>
      </w:hyperlink>
      <w:r>
        <w:rPr/>
        <w:t>.</w:t>
      </w:r>
      <w:r>
        <w:rPr/>
        <w:t xml:space="preserve"> Author-hosted paper: </w:t>
      </w:r>
      <w:hyperlink r:id="rId231">
        <w:r>
          <w:rPr>
            <w:color w:val="000000"/>
            <w:u w:val="single"/>
          </w:rPr>
          <w:t xml:space="preserve">https://preskill.caltech.edu/pubs/preskill-2007-mirror.pdf</w:t>
        </w:r>
      </w:hyperlink>
      <w:r>
        <w:rPr/>
        <w:t>.</w:t>
      </w:r>
    </w:p>
    <w:p>
      <w:pPr>
        <w:pStyle w:val="Reference"/>
      </w:pPr>
      <w:r>
        <w:rPr/>
        <w:t>Access: abstract and author PDF text. Use: rapidly mixing unitary dynamics and an observer with ideal control of emitted radiation. The old-hole protocol is a counterexample to the manuscript's unconditional half-of-all-radiation statement, not an engineering proposal.</w:t>
      </w:r>
    </w:p>
    <w:p>
      <w:pPr>
        <w:pStyle w:val="Heading3"/>
      </w:pPr>
      <w:bookmarkStart w:id="382" w:name="v5_l607"/>
      <w:r>
        <w:rPr>
          <w:sz w:val="26"/>
        </w:rPr>
        <w:t>I05 Decoding complexity</w:t>
      </w:r>
      <w:bookmarkEnd w:id="382"/>
    </w:p>
    <w:p>
      <w:pPr>
        <w:pStyle w:val="Reference"/>
      </w:pPr>
      <w:r>
        <w:rPr/>
        <w:t xml:space="preserve">Harlow, D., and Hayden, P. 2013. Quantum computation vs. firewalls. </w:t>
      </w:r>
      <w:r>
        <w:rPr>
          <w:i/>
        </w:rPr>
        <w:t>Journal of High Energy Physics</w:t>
      </w:r>
      <w:r>
        <w:rPr/>
        <w:t xml:space="preserve"> 2013(06), 85. </w:t>
      </w:r>
      <w:hyperlink r:id="rId232">
        <w:r>
          <w:rPr>
            <w:color w:val="000000"/>
            <w:u w:val="single"/>
          </w:rPr>
          <w:t xml:space="preserve">https://arxiv.org/abs/1301.4504</w:t>
        </w:r>
      </w:hyperlink>
      <w:r>
        <w:rPr/>
        <w:t>.</w:t>
      </w:r>
      <w:r>
        <w:rPr/>
        <w:t xml:space="preserve"> </w:t>
      </w:r>
      <w:hyperlink r:id="rId233">
        <w:r>
          <w:rPr>
            <w:color w:val="000000"/>
            <w:u w:val="single"/>
          </w:rPr>
          <w:t xml:space="preserve">https://doi.org/10.1007/JHEP06(2013)085</w:t>
        </w:r>
      </w:hyperlink>
      <w:r>
        <w:rPr/>
        <w:t>.</w:t>
      </w:r>
    </w:p>
    <w:p>
      <w:pPr>
        <w:pStyle w:val="Reference"/>
      </w:pPr>
      <w:r>
        <w:rPr/>
        <w:t>Access: original arXiv abstract and revision description. Use: complexity obstruction for specified decoding thought experiments, with genericity and computational assumptions. Does not establish that no physically possible observer could ever test unitarity or recover any information.</w:t>
      </w:r>
    </w:p>
    <w:p>
      <w:pPr>
        <w:pStyle w:val="Heading3"/>
      </w:pPr>
      <w:bookmarkStart w:id="383" w:name="v5_l613"/>
      <w:r>
        <w:rPr>
          <w:sz w:val="26"/>
        </w:rPr>
        <w:t>I06 Semantic information and interventions</w:t>
      </w:r>
      <w:bookmarkEnd w:id="383"/>
    </w:p>
    <w:p>
      <w:pPr>
        <w:pStyle w:val="Reference"/>
      </w:pPr>
      <w:r>
        <w:rPr/>
        <w:t xml:space="preserve">Kolchinsky, A., and Wolpert, D. H. 2018. Semantic information, autonomous agency and non-equilibrium statistical physics. </w:t>
      </w:r>
      <w:r>
        <w:rPr>
          <w:i/>
        </w:rPr>
        <w:t>Interface Focus</w:t>
      </w:r>
      <w:r>
        <w:rPr/>
        <w:t xml:space="preserve"> 8, 20180041. </w:t>
      </w:r>
      <w:hyperlink r:id="rId36">
        <w:r>
          <w:rPr>
            <w:color w:val="000000"/>
            <w:u w:val="single"/>
          </w:rPr>
          <w:t xml:space="preserve">https://doi.org/10.1098/rsfs.2018.0041</w:t>
        </w:r>
      </w:hyperlink>
      <w:r>
        <w:rPr/>
        <w:t>.</w:t>
      </w:r>
      <w:r>
        <w:rPr/>
        <w:t xml:space="preserve"> </w:t>
      </w:r>
      <w:hyperlink r:id="rId54">
        <w:r>
          <w:rPr>
            <w:color w:val="000000"/>
            <w:u w:val="single"/>
          </w:rPr>
          <w:t xml:space="preserve">https://arxiv.org/html/1806.08053v3</w:t>
        </w:r>
      </w:hyperlink>
      <w:r>
        <w:rPr/>
        <w:t>.</w:t>
      </w:r>
      <w:r>
        <w:rPr/>
        <w:t xml:space="preserve"> Author paper: </w:t>
      </w:r>
      <w:hyperlink r:id="rId234">
        <w:r>
          <w:rPr>
            <w:color w:val="000000"/>
            <w:u w:val="single"/>
          </w:rPr>
          <w:t xml:space="preserve">https://artemyk.github.io/assets/pdf/papers/Kolchinsky_Wolpert_2018_Semantic%20information%2C%20autonomous%20agency%20and%20non-equilibrium%20statistical%20physics.pdf</w:t>
        </w:r>
      </w:hyperlink>
      <w:r>
        <w:rPr/>
        <w:t>.</w:t>
      </w:r>
    </w:p>
    <w:p>
      <w:pPr>
        <w:pStyle w:val="Reference"/>
      </w:pPr>
      <w:r>
        <w:rPr/>
        <w:t>Access: abstract and selected HTML/PDF text on setup, viability, and intervention definitions. Use: model-specific correlation interventions and viability analysis. A physical or social application must specify variables, dynamics, horizon, and admissible interventions; a shared word does not identify quantum scrambling with this operation. No Shadow Economy mapping or relational multiplier is imported.</w:t>
      </w:r>
    </w:p>
    <w:p>
      <w:pPr>
        <w:pStyle w:val="Heading3"/>
      </w:pPr>
      <w:bookmarkStart w:id="384" w:name="v5_l619"/>
      <w:r>
        <w:rPr>
          <w:sz w:val="26"/>
        </w:rPr>
        <w:t>I07 Quantum Darwinism mechanism</w:t>
      </w:r>
      <w:bookmarkEnd w:id="384"/>
    </w:p>
    <w:p>
      <w:pPr>
        <w:pStyle w:val="Reference"/>
      </w:pPr>
      <w:r>
        <w:rPr/>
        <w:t xml:space="preserve">Zurek, W. H. 2009. Quantum Darwinism. </w:t>
      </w:r>
      <w:r>
        <w:rPr>
          <w:i/>
        </w:rPr>
        <w:t>Nature Physics</w:t>
      </w:r>
      <w:r>
        <w:rPr/>
        <w:t xml:space="preserve"> 5, 181–188. </w:t>
      </w:r>
      <w:hyperlink r:id="rId235">
        <w:r>
          <w:rPr>
            <w:color w:val="000000"/>
            <w:u w:val="single"/>
          </w:rPr>
          <w:t xml:space="preserve">https://doi.org/10.1038/nphys1202</w:t>
        </w:r>
      </w:hyperlink>
      <w:r>
        <w:rPr/>
        <w:t>.</w:t>
      </w:r>
      <w:r>
        <w:rPr/>
        <w:t xml:space="preserve"> </w:t>
      </w:r>
      <w:hyperlink r:id="rId236">
        <w:r>
          <w:rPr>
            <w:color w:val="000000"/>
            <w:u w:val="single"/>
          </w:rPr>
          <w:t xml:space="preserve">https://arxiv.org/abs/0903.5082</w:t>
        </w:r>
      </w:hyperlink>
      <w:r>
        <w:rPr/>
        <w:t>.</w:t>
      </w:r>
    </w:p>
    <w:p>
      <w:pPr>
        <w:pStyle w:val="Reference"/>
      </w:pPr>
      <w:r>
        <w:rPr/>
        <w:t>Access: author abstract and publication metadata; supplemented by the experimental paper I08. Use: redundant records of selected observables in environmental fragments. Not a theorem that redundancy is required for every communication act or that the measurement problem is universally settled.</w:t>
      </w:r>
    </w:p>
    <w:p>
      <w:pPr>
        <w:pStyle w:val="Heading3"/>
      </w:pPr>
      <w:bookmarkStart w:id="385" w:name="v5_l625"/>
      <w:r>
        <w:rPr>
          <w:sz w:val="26"/>
        </w:rPr>
        <w:t>I08 Quantum Darwinism experiment</w:t>
      </w:r>
      <w:bookmarkEnd w:id="385"/>
    </w:p>
    <w:p>
      <w:pPr>
        <w:pStyle w:val="Reference"/>
      </w:pPr>
      <w:r>
        <w:rPr/>
        <w:t xml:space="preserve">Zhu, Z., Salice, K., Touil, A., Bao, Z., Song, Z., Zhang, P., Li, H., Wang, Z., Song, C., Guo, Q., Wang, H., and Mondaini, R. 2025. Observation of quantum Darwinism and the origin of classicality with superconducting circuits. </w:t>
      </w:r>
      <w:r>
        <w:rPr>
          <w:i/>
        </w:rPr>
        <w:t>Science Advances</w:t>
      </w:r>
      <w:r>
        <w:rPr/>
        <w:t xml:space="preserve"> 11(31), eadx6857. </w:t>
      </w:r>
      <w:hyperlink r:id="rId237">
        <w:r>
          <w:rPr>
            <w:color w:val="000000"/>
            <w:u w:val="single"/>
          </w:rPr>
          <w:t xml:space="preserve">https://doi.org/10.1126/sciadv.adx6857</w:t>
        </w:r>
      </w:hyperlink>
      <w:r>
        <w:rPr/>
        <w:t>.</w:t>
      </w:r>
      <w:r>
        <w:rPr/>
        <w:t xml:space="preserve"> </w:t>
      </w:r>
      <w:hyperlink r:id="rId238">
        <w:r>
          <w:rPr>
            <w:color w:val="000000"/>
            <w:u w:val="single"/>
          </w:rPr>
          <w:t xml:space="preserve">https://arxiv.org/html/2504.00781v2</w:t>
        </w:r>
      </w:hyperlink>
      <w:r>
        <w:rPr/>
        <w:t>.</w:t>
      </w:r>
      <w:r>
        <w:rPr/>
        <w:t xml:space="preserve"> Publisher metadata indexed at </w:t>
      </w:r>
      <w:hyperlink r:id="rId239">
        <w:r>
          <w:rPr>
            <w:color w:val="000000"/>
            <w:u w:val="single"/>
          </w:rPr>
          <w:t xml:space="preserve">https://pubmed.ncbi.nlm.nih.gov/40749052/</w:t>
        </w:r>
      </w:hyperlink>
      <w:r>
        <w:rPr/>
        <w:t>.</w:t>
      </w:r>
    </w:p>
    <w:p>
      <w:pPr>
        <w:pStyle w:val="Reference"/>
      </w:pPr>
      <w:r>
        <w:rPr/>
        <w:t>Access: author HTML sections on apparatus, branching structures and fragment information, figures described in text, and publication metadata. Use: engineered superconducting-qubit preparation and fragment measurements. Earlier experiments are acknowledged in its introduction; the revision does not call this the first experimental test of quantum Darwinism generally. No universal coupling-strength scaling or relational-recognition requirement is inferred.</w:t>
      </w:r>
    </w:p>
    <w:p>
      <w:pPr>
        <w:pStyle w:val="Heading3"/>
      </w:pPr>
      <w:bookmarkStart w:id="386" w:name="v5_l631"/>
      <w:r>
        <w:rPr>
          <w:sz w:val="26"/>
        </w:rPr>
        <w:t>I09 Entropy bound</w:t>
      </w:r>
      <w:bookmarkEnd w:id="386"/>
    </w:p>
    <w:p>
      <w:pPr>
        <w:pStyle w:val="Reference"/>
      </w:pPr>
      <w:r>
        <w:rPr/>
        <w:t xml:space="preserve">Bekenstein, J. D. 1981. Universal upper bound on the entropy-to-energy ratio for bounded systems. </w:t>
      </w:r>
      <w:r>
        <w:rPr>
          <w:i/>
        </w:rPr>
        <w:t>Physical Review D</w:t>
      </w:r>
      <w:r>
        <w:rPr/>
        <w:t xml:space="preserve"> 23, 287–298. </w:t>
      </w:r>
      <w:hyperlink r:id="rId189">
        <w:r>
          <w:rPr>
            <w:color w:val="000000"/>
            <w:u w:val="single"/>
          </w:rPr>
          <w:t xml:space="preserve">https://doi.org/10.1103/PhysRevD.23.287</w:t>
        </w:r>
      </w:hyperlink>
      <w:r>
        <w:rPr/>
        <w:t>.</w:t>
      </w:r>
      <w:r>
        <w:rPr/>
        <w:t xml:space="preserve"> </w:t>
      </w:r>
      <w:hyperlink r:id="rId240">
        <w:r>
          <w:rPr>
            <w:color w:val="000000"/>
            <w:u w:val="single"/>
          </w:rPr>
          <w:t xml:space="preserve">https://journals.aps.org/prd/abstract/10.1103/PhysRevD.23.287</w:t>
        </w:r>
      </w:hyperlink>
      <w:r>
        <w:rPr/>
        <w:t>.</w:t>
      </w:r>
      <w:r>
        <w:rPr/>
        <w:t xml:space="preserve"> Original-paper text: </w:t>
      </w:r>
      <w:hyperlink r:id="rId241">
        <w:r>
          <w:rPr>
            <w:color w:val="000000"/>
            <w:u w:val="single"/>
          </w:rPr>
          <w:t xml:space="preserve">https://harvest.aps.org/v2/journals/articles/10.1103/PhysRevD.23.287/fulltext</w:t>
        </w:r>
      </w:hyperlink>
      <w:r>
        <w:rPr/>
        <w:t>.</w:t>
      </w:r>
    </w:p>
    <w:p>
      <w:pPr>
        <w:pStyle w:val="Reference"/>
      </w:pPr>
      <w:r>
        <w:rPr/>
        <w:t>Access: original abstract and publisher paper extract. Use: familiar ER form and its physical-system assumptions. Modern field-theoretic distinctions are addressed through I10, not ignored. Does not justify applying a single area bound to arbitrary spatial regions, equating entropy to work, or declaring the universe finite.</w:t>
      </w:r>
    </w:p>
    <w:p>
      <w:pPr>
        <w:pStyle w:val="Heading3"/>
      </w:pPr>
      <w:bookmarkStart w:id="387" w:name="v5_l637"/>
      <w:r>
        <w:rPr>
          <w:sz w:val="26"/>
        </w:rPr>
        <w:t>I10 Encoder and decoder resource restrictions</w:t>
      </w:r>
      <w:bookmarkEnd w:id="387"/>
    </w:p>
    <w:p>
      <w:pPr>
        <w:pStyle w:val="Reference"/>
      </w:pPr>
      <w:r>
        <w:rPr/>
        <w:t xml:space="preserve">Hayden, P., and Wang, J. 2025. What exactly does Bekenstein bound? </w:t>
      </w:r>
      <w:r>
        <w:rPr>
          <w:i/>
        </w:rPr>
        <w:t>Quantum</w:t>
      </w:r>
      <w:r>
        <w:rPr/>
        <w:t xml:space="preserve"> 9, 1664. </w:t>
      </w:r>
      <w:hyperlink r:id="rId242">
        <w:r>
          <w:rPr>
            <w:color w:val="000000"/>
            <w:u w:val="single"/>
          </w:rPr>
          <w:t xml:space="preserve">https://doi.org/10.22331/q-2025-03-20-1664</w:t>
        </w:r>
      </w:hyperlink>
      <w:r>
        <w:rPr/>
        <w:t>.</w:t>
      </w:r>
      <w:r>
        <w:rPr/>
        <w:t xml:space="preserve"> </w:t>
      </w:r>
      <w:hyperlink r:id="rId243">
        <w:r>
          <w:rPr>
            <w:color w:val="000000"/>
            <w:u w:val="single"/>
          </w:rPr>
          <w:t xml:space="preserve">https://arxiv.org/abs/2309.07436v3</w:t>
        </w:r>
      </w:hyperlink>
      <w:r>
        <w:rPr/>
        <w:t>.</w:t>
      </w:r>
      <w:r>
        <w:rPr/>
        <w:t xml:space="preserve"> </w:t>
      </w:r>
      <w:hyperlink r:id="rId244">
        <w:r>
          <w:rPr>
            <w:color w:val="000000"/>
            <w:u w:val="single"/>
          </w:rPr>
          <w:t xml:space="preserve">https://arxiv.org/html/2309.07436v3</w:t>
        </w:r>
      </w:hyperlink>
      <w:r>
        <w:rPr/>
        <w:t>.</w:t>
      </w:r>
    </w:p>
    <w:p>
      <w:pPr>
        <w:pStyle w:val="Reference"/>
      </w:pPr>
      <w:r>
        <w:rPr/>
        <w:t>Access: final published-version metadata, abstract and HTML passages on channel capacities and encoder restrictions. Use: specified Unruh channel and distinct decoder-only versus encoder-plus-decoder restrictions. Zero-bit capacity is also bounded in the latter construction. The manuscript's categorical “outside the ceiling” conclusion is withdrawn.</w:t>
      </w:r>
    </w:p>
    <w:p>
      <w:pPr>
        <w:pStyle w:val="Heading3"/>
      </w:pPr>
      <w:bookmarkStart w:id="388" w:name="v5_l643"/>
      <w:r>
        <w:rPr>
          <w:sz w:val="26"/>
        </w:rPr>
        <w:t>I11 Historical Landauer paper</w:t>
      </w:r>
      <w:bookmarkEnd w:id="388"/>
    </w:p>
    <w:p>
      <w:pPr>
        <w:pStyle w:val="Reference"/>
      </w:pPr>
      <w:r>
        <w:rPr/>
        <w:t xml:space="preserve">Landauer, R. 1961. Irreversibility and heat generation in the computing process. </w:t>
      </w:r>
      <w:r>
        <w:rPr>
          <w:i/>
        </w:rPr>
        <w:t>IBM Journal of Research and Development</w:t>
      </w:r>
      <w:r>
        <w:rPr/>
        <w:t xml:space="preserve"> 5(3), 183–191. </w:t>
      </w:r>
      <w:hyperlink r:id="rId22">
        <w:r>
          <w:rPr>
            <w:color w:val="000000"/>
            <w:u w:val="single"/>
          </w:rPr>
          <w:t xml:space="preserve">https://doi.org/10.1147/rd.53.0183</w:t>
        </w:r>
      </w:hyperlink>
      <w:r>
        <w:rPr/>
        <w:t>.</w:t>
      </w:r>
      <w:r>
        <w:rPr/>
        <w:t xml:space="preserve"> Original-paper copy: </w:t>
      </w:r>
      <w:hyperlink r:id="rId245">
        <w:r>
          <w:rPr>
            <w:color w:val="000000"/>
            <w:u w:val="single"/>
          </w:rPr>
          <w:t xml:space="preserve">https://sites.pitt.edu/~jdnorton/lectures/Rotman_Summer_School_2013/thermo_computing_docs/Landauer_1961.pdf</w:t>
        </w:r>
      </w:hyperlink>
      <w:r>
        <w:rPr/>
        <w:t>.</w:t>
      </w:r>
    </w:p>
    <w:p>
      <w:pPr>
        <w:pStyle w:val="Reference"/>
      </w:pPr>
      <w:r>
        <w:rPr/>
        <w:t>Access: publisher metadata/abstract and original-paper extract. Use: historical link between logical information loss and physical dissipation. Modern setup conditions are specified using I12; the original suggestion that irreversible steps are essential to all useful computation is not repeated.</w:t>
      </w:r>
    </w:p>
    <w:p>
      <w:pPr>
        <w:pStyle w:val="Heading3"/>
      </w:pPr>
      <w:bookmarkStart w:id="389" w:name="v5_l649"/>
      <w:r>
        <w:rPr>
          <w:sz w:val="26"/>
        </w:rPr>
        <w:t>I12 Precise Landauer setup</w:t>
      </w:r>
      <w:bookmarkEnd w:id="389"/>
    </w:p>
    <w:p>
      <w:pPr>
        <w:pStyle w:val="Reference"/>
      </w:pPr>
      <w:r>
        <w:rPr/>
        <w:t xml:space="preserve">Reeb, D., and Wolf, M. M. 2014. An improved Landauer principle with finite-size corrections. </w:t>
      </w:r>
      <w:r>
        <w:rPr>
          <w:i/>
        </w:rPr>
        <w:t>New Journal of Physics</w:t>
      </w:r>
      <w:r>
        <w:rPr/>
        <w:t xml:space="preserve"> 16, 103011. </w:t>
      </w:r>
      <w:hyperlink r:id="rId246">
        <w:r>
          <w:rPr>
            <w:color w:val="000000"/>
            <w:u w:val="single"/>
          </w:rPr>
          <w:t xml:space="preserve">https://doi.org/10.1088/1367-2630/16/10/103011</w:t>
        </w:r>
      </w:hyperlink>
      <w:r>
        <w:rPr/>
        <w:t>.</w:t>
      </w:r>
      <w:r>
        <w:rPr/>
        <w:t xml:space="preserve"> </w:t>
      </w:r>
      <w:hyperlink r:id="rId247">
        <w:r>
          <w:rPr>
            <w:color w:val="000000"/>
            <w:u w:val="single"/>
          </w:rPr>
          <w:t xml:space="preserve">https://arxiv.org/html/1306.4352v3</w:t>
        </w:r>
      </w:hyperlink>
      <w:r>
        <w:rPr/>
        <w:t>.</w:t>
      </w:r>
      <w:r>
        <w:rPr/>
        <w:t xml:space="preserve"> Author/institution PDF: </w:t>
      </w:r>
      <w:hyperlink r:id="rId248">
        <w:r>
          <w:rPr>
            <w:color w:val="000000"/>
            <w:u w:val="single"/>
          </w:rPr>
          <w:t xml:space="preserve">https://mediatum.ub.tum.de/doc/1653576/1653576.pdf</w:t>
        </w:r>
      </w:hyperlink>
      <w:r>
        <w:rPr/>
        <w:t>.</w:t>
      </w:r>
    </w:p>
    <w:p>
      <w:pPr>
        <w:pStyle w:val="Reference"/>
      </w:pPr>
      <w:r>
        <w:rPr/>
        <w:t>Access: HTML setup, bound and correlation sections and institutional PDF extract. Use: initially product system–thermal-reservoir state and joint unitary evolution; bounds on mean reservoir heat versus memory entropy decrease. Finite reservoirs and initial correlations alter the simplest analysis. Not a per-event biological tax.</w:t>
      </w:r>
    </w:p>
    <w:p>
      <w:pPr>
        <w:pStyle w:val="Heading3"/>
      </w:pPr>
      <w:bookmarkStart w:id="390" w:name="v5_l655"/>
      <w:r>
        <w:rPr>
          <w:sz w:val="26"/>
        </w:rPr>
        <w:t>I13 Reversible computation</w:t>
      </w:r>
      <w:bookmarkEnd w:id="390"/>
    </w:p>
    <w:p>
      <w:pPr>
        <w:pStyle w:val="Reference"/>
      </w:pPr>
      <w:r>
        <w:rPr/>
        <w:t xml:space="preserve">Bennett, C. H. 1973. Logical reversibility of computation. </w:t>
      </w:r>
      <w:r>
        <w:rPr>
          <w:i/>
        </w:rPr>
        <w:t>IBM Journal of Research and Development</w:t>
      </w:r>
      <w:r>
        <w:rPr/>
        <w:t xml:space="preserve"> 17, 525–532. </w:t>
      </w:r>
      <w:hyperlink r:id="rId30">
        <w:r>
          <w:rPr>
            <w:color w:val="000000"/>
            <w:u w:val="single"/>
          </w:rPr>
          <w:t xml:space="preserve">https://doi.org/10.1147/rd.176.0525</w:t>
        </w:r>
      </w:hyperlink>
      <w:r>
        <w:rPr/>
        <w:t>.</w:t>
      </w:r>
      <w:r>
        <w:rPr/>
        <w:t xml:space="preserve"> Original-paper HTML: </w:t>
      </w:r>
      <w:hyperlink r:id="rId21">
        <w:r>
          <w:rPr>
            <w:color w:val="000000"/>
            <w:u w:val="single"/>
          </w:rPr>
          <w:t xml:space="preserve">https://www.cs.princeton.edu/courses/archive/fall04/cos576/papers/bennett73.html</w:t>
        </w:r>
      </w:hyperlink>
      <w:r>
        <w:rPr/>
        <w:t>.</w:t>
      </w:r>
    </w:p>
    <w:p>
      <w:pPr>
        <w:pStyle w:val="Reference"/>
      </w:pPr>
      <w:r>
        <w:rPr/>
        <w:t xml:space="preserve">Access: original-paper HTML, including the reversible construction. Use: reversible embedding, retention of information, and uncomputation. Separately checked Bennett's 2003 </w:t>
      </w:r>
      <w:r>
        <w:rPr>
          <w:i/>
        </w:rPr>
        <w:t>Notes on Landauer's principle, reversible computation and Maxwell's demon</w:t>
      </w:r>
      <w:r>
        <w:rPr/>
        <w:t xml:space="preserve">: </w:t>
      </w:r>
      <w:hyperlink r:id="rId249">
        <w:r>
          <w:rPr>
            <w:color w:val="000000"/>
            <w:u w:val="single"/>
          </w:rPr>
          <w:t xml:space="preserve">https://arxiv.org/abs/physics/0210005</w:t>
        </w:r>
      </w:hyperlink>
      <w:r>
        <w:rPr/>
        <w:t>,</w:t>
      </w:r>
      <w:r>
        <w:rPr/>
        <w:t xml:space="preserve"> </w:t>
      </w:r>
      <w:hyperlink r:id="rId250">
        <w:r>
          <w:rPr>
            <w:color w:val="000000"/>
            <w:u w:val="single"/>
          </w:rPr>
          <w:t xml:space="preserve">https://doi.org/10.1016/S1355-2198(03)00039-X</w:t>
        </w:r>
      </w:hyperlink>
      <w:r>
        <w:rPr/>
        <w:t xml:space="preserve"> (abstract). Logical reversibility does not certify a practical device's energy or speed.</w:t>
      </w:r>
    </w:p>
    <w:p>
      <w:pPr>
        <w:pStyle w:val="Heading3"/>
      </w:pPr>
      <w:bookmarkStart w:id="391" w:name="v5_l661"/>
      <w:r>
        <w:rPr>
          <w:sz w:val="26"/>
        </w:rPr>
        <w:t>I14 Erasure with quantum side information</w:t>
      </w:r>
      <w:bookmarkEnd w:id="391"/>
    </w:p>
    <w:p>
      <w:pPr>
        <w:pStyle w:val="Reference"/>
      </w:pPr>
      <w:r>
        <w:rPr/>
        <w:t xml:space="preserve">del Rio, L., Åberg, J., Renner, R., Dahlsten, O., and Vedral, V. 2011. The thermodynamic meaning of negative entropy. </w:t>
      </w:r>
      <w:r>
        <w:rPr>
          <w:i/>
        </w:rPr>
        <w:t>Nature</w:t>
      </w:r>
      <w:r>
        <w:rPr/>
        <w:t xml:space="preserve"> 474, 61–63. </w:t>
      </w:r>
      <w:hyperlink r:id="rId251">
        <w:r>
          <w:rPr>
            <w:color w:val="000000"/>
            <w:u w:val="single"/>
          </w:rPr>
          <w:t xml:space="preserve">https://doi.org/10.1038/nature10123</w:t>
        </w:r>
      </w:hyperlink>
      <w:r>
        <w:rPr/>
        <w:t>.</w:t>
      </w:r>
      <w:r>
        <w:rPr/>
        <w:t xml:space="preserve"> </w:t>
      </w:r>
      <w:hyperlink r:id="rId252">
        <w:r>
          <w:rPr>
            <w:color w:val="000000"/>
            <w:u w:val="single"/>
          </w:rPr>
          <w:t xml:space="preserve">https://arxiv.org/abs/1009.1630</w:t>
        </w:r>
      </w:hyperlink>
      <w:r>
        <w:rPr/>
        <w:t>.</w:t>
      </w:r>
      <w:r>
        <w:rPr/>
        <w:t xml:space="preserve"> Clarifying addendum: </w:t>
      </w:r>
      <w:r>
        <w:rPr>
          <w:i/>
        </w:rPr>
        <w:t>Nature</w:t>
      </w:r>
      <w:r>
        <w:rPr/>
        <w:t xml:space="preserve"> 476, 476, </w:t>
      </w:r>
      <w:hyperlink r:id="rId253">
        <w:r>
          <w:rPr>
            <w:color w:val="000000"/>
            <w:u w:val="single"/>
          </w:rPr>
          <w:t xml:space="preserve">https://www.nature.com/articles/nature10395</w:t>
        </w:r>
      </w:hyperlink>
      <w:r>
        <w:rPr/>
        <w:t>.</w:t>
      </w:r>
    </w:p>
    <w:p>
      <w:pPr>
        <w:pStyle w:val="Reference"/>
      </w:pPr>
      <w:r>
        <w:rPr/>
        <w:t>Access: original author abstract and full short publisher addendum. Use: work costs with quantum side information and consumed entanglement. The addendum explicitly distinguishes such a process from a cyclic second-law violation. Heat and work are not treated as interchangeable in the chapter.</w:t>
      </w:r>
    </w:p>
    <w:p>
      <w:pPr>
        <w:pStyle w:val="Heading3"/>
      </w:pPr>
      <w:bookmarkStart w:id="392" w:name="v5_l667"/>
      <w:r>
        <w:rPr>
          <w:sz w:val="26"/>
        </w:rPr>
        <w:t>I15 Colloidal reset experiment</w:t>
      </w:r>
      <w:bookmarkEnd w:id="392"/>
    </w:p>
    <w:p>
      <w:pPr>
        <w:pStyle w:val="Reference"/>
      </w:pPr>
      <w:r>
        <w:rPr/>
        <w:t xml:space="preserve">Bérut, A., Arakelyan, A., Petrosyan, A., Ciliberto, S., Dillenschneider, R., and Lutz, E. 2012. Experimental verification of Landauer's principle linking information and thermodynamics. </w:t>
      </w:r>
      <w:r>
        <w:rPr>
          <w:i/>
        </w:rPr>
        <w:t>Nature</w:t>
      </w:r>
      <w:r>
        <w:rPr/>
        <w:t xml:space="preserve"> 483, 187–189. </w:t>
      </w:r>
      <w:hyperlink r:id="rId32">
        <w:r>
          <w:rPr>
            <w:color w:val="000000"/>
            <w:u w:val="single"/>
          </w:rPr>
          <w:t xml:space="preserve">https://doi.org/10.1038/nature10872</w:t>
        </w:r>
      </w:hyperlink>
      <w:r>
        <w:rPr/>
        <w:t>.</w:t>
      </w:r>
      <w:r>
        <w:rPr/>
        <w:t xml:space="preserve"> </w:t>
      </w:r>
      <w:hyperlink r:id="rId254">
        <w:r>
          <w:rPr>
            <w:color w:val="000000"/>
            <w:u w:val="single"/>
          </w:rPr>
          <w:t xml:space="preserve">https://www.nature.com/articles/nature10872</w:t>
        </w:r>
      </w:hyperlink>
      <w:r>
        <w:rPr/>
        <w:t>.</w:t>
      </w:r>
    </w:p>
    <w:p>
      <w:pPr>
        <w:pStyle w:val="Reference"/>
      </w:pPr>
      <w:r>
        <w:rPr/>
        <w:t>Access: publisher abstract and metadata. Use: single-particle colloidal memory-reset experiment. Later platforms complement rather than invalidate or “supersede” its evidence.</w:t>
      </w:r>
    </w:p>
    <w:p>
      <w:pPr>
        <w:pStyle w:val="Heading3"/>
      </w:pPr>
      <w:bookmarkStart w:id="393" w:name="v5_l673"/>
      <w:r>
        <w:rPr>
          <w:sz w:val="26"/>
        </w:rPr>
        <w:t>I16 Nanomagnetic reset experiment</w:t>
      </w:r>
      <w:bookmarkEnd w:id="393"/>
    </w:p>
    <w:p>
      <w:pPr>
        <w:pStyle w:val="Reference"/>
      </w:pPr>
      <w:r>
        <w:rPr/>
        <w:t xml:space="preserve">Hong, J., Lambson, B., Dhuey, S., and Bokor, J. 2016. Experimental test of Landauer's principle in single-bit operations on nanomagnetic memory bits. </w:t>
      </w:r>
      <w:r>
        <w:rPr>
          <w:i/>
        </w:rPr>
        <w:t>Science Advances</w:t>
      </w:r>
      <w:r>
        <w:rPr/>
        <w:t xml:space="preserve"> 2, e1501492. </w:t>
      </w:r>
      <w:hyperlink r:id="rId255">
        <w:r>
          <w:rPr>
            <w:color w:val="000000"/>
            <w:u w:val="single"/>
          </w:rPr>
          <w:t xml:space="preserve">https://doi.org/10.1126/sciadv.1501492</w:t>
        </w:r>
      </w:hyperlink>
      <w:r>
        <w:rPr/>
        <w:t>.</w:t>
      </w:r>
      <w:r>
        <w:rPr/>
        <w:t xml:space="preserve"> </w:t>
      </w:r>
      <w:hyperlink r:id="rId256">
        <w:r>
          <w:rPr>
            <w:color w:val="000000"/>
            <w:u w:val="single"/>
          </w:rPr>
          <w:t xml:space="preserve">https://pmc.ncbi.nlm.nih.gov/articles/PMC4795654/</w:t>
        </w:r>
      </w:hyperlink>
      <w:r>
        <w:rPr/>
        <w:t>.</w:t>
      </w:r>
    </w:p>
    <w:p>
      <w:pPr>
        <w:pStyle w:val="Reference"/>
      </w:pPr>
      <w:r>
        <w:rPr/>
        <w:t>Access: paper text including methods, discussion and uncertainty. Use: intrinsic dissipation in the specified reset; consistency within two standard deviations, with actuation losses excluded. The revision omits an unqualified single central value and “44 percent” summary. See the separate arithmetic check rather than treating it as a new measurement.</w:t>
      </w:r>
    </w:p>
    <w:p>
      <w:pPr>
        <w:pStyle w:val="Heading3"/>
      </w:pPr>
      <w:bookmarkStart w:id="394" w:name="v5_l679"/>
      <w:r>
        <w:rPr>
          <w:sz w:val="26"/>
        </w:rPr>
        <w:t>I17 Molecular-spin reset experiment</w:t>
      </w:r>
      <w:bookmarkEnd w:id="394"/>
    </w:p>
    <w:p>
      <w:pPr>
        <w:pStyle w:val="Reference"/>
      </w:pPr>
      <w:r>
        <w:rPr/>
        <w:t xml:space="preserve">Gaudenzi, R., Burzurí, E., Maegawa, S., van der Zant, H. S. J., and Luis, F. 2018. Quantum Landauer erasure with a molecular nanomagnet. </w:t>
      </w:r>
      <w:r>
        <w:rPr>
          <w:i/>
        </w:rPr>
        <w:t>Nature Physics</w:t>
      </w:r>
      <w:r>
        <w:rPr/>
        <w:t xml:space="preserve"> 14, 565–568. </w:t>
      </w:r>
      <w:hyperlink r:id="rId257">
        <w:r>
          <w:rPr>
            <w:color w:val="000000"/>
            <w:u w:val="single"/>
          </w:rPr>
          <w:t xml:space="preserve">https://doi.org/10.1038/s41567-018-0070-7</w:t>
        </w:r>
      </w:hyperlink>
      <w:r>
        <w:rPr/>
        <w:t>.</w:t>
      </w:r>
      <w:r>
        <w:rPr/>
        <w:t xml:space="preserve"> </w:t>
      </w:r>
      <w:hyperlink r:id="rId258">
        <w:r>
          <w:rPr>
            <w:color w:val="000000"/>
            <w:u w:val="single"/>
          </w:rPr>
          <w:t xml:space="preserve">https://www.nature.com/articles/s41567-018-0070-7</w:t>
        </w:r>
      </w:hyperlink>
      <w:r>
        <w:rPr/>
        <w:t>.</w:t>
      </w:r>
      <w:r>
        <w:rPr/>
        <w:t xml:space="preserve"> Author version: </w:t>
      </w:r>
      <w:hyperlink r:id="rId259">
        <w:r>
          <w:rPr>
            <w:color w:val="000000"/>
            <w:u w:val="single"/>
          </w:rPr>
          <w:t xml:space="preserve">https://arxiv.org/abs/1703.04607</w:t>
        </w:r>
      </w:hyperlink>
      <w:r>
        <w:rPr/>
        <w:t>.</w:t>
      </w:r>
      <w:r>
        <w:rPr/>
        <w:t xml:space="preserve"> Correction: </w:t>
      </w:r>
      <w:hyperlink r:id="rId260">
        <w:r>
          <w:rPr>
            <w:color w:val="000000"/>
            <w:u w:val="single"/>
          </w:rPr>
          <w:t xml:space="preserve">https://www.nature.com/articles/s41567-018-0140-x.pdf</w:t>
        </w:r>
      </w:hyperlink>
      <w:r>
        <w:rPr/>
        <w:t>.</w:t>
      </w:r>
    </w:p>
    <w:p>
      <w:pPr>
        <w:pStyle w:val="Reference"/>
      </w:pPr>
      <w:r>
        <w:rPr/>
        <w:t>Access: publisher and author abstracts plus complete correction text. Use: quantum-spin memory investigation, not universal low-temperature reversibility. The correction swaps figure-legend symbols; it is recorded rather than silently ignored. Detailed numerical saturation claims are not made on abstract-only access.</w:t>
      </w:r>
    </w:p>
    <w:p>
      <w:pPr>
        <w:pStyle w:val="Heading3"/>
      </w:pPr>
      <w:bookmarkStart w:id="395" w:name="v5_l685"/>
      <w:r>
        <w:rPr>
          <w:sz w:val="26"/>
        </w:rPr>
        <w:t>I18 Many-body information thermodynamics experiment</w:t>
      </w:r>
      <w:bookmarkEnd w:id="395"/>
    </w:p>
    <w:p>
      <w:pPr>
        <w:pStyle w:val="Reference"/>
      </w:pPr>
      <w:r>
        <w:rPr/>
        <w:t xml:space="preserve">Aimet, S., Tajik, M., Tournaire, G., Schüttelkopf, P., Sabino, J., Sotiriadis, S., Guarnieri, G., Schmiedmayer, J., and Eisert, J. 2025. Experimentally probing Landauer's principle in the quantum many-body regime. </w:t>
      </w:r>
      <w:r>
        <w:rPr>
          <w:i/>
        </w:rPr>
        <w:t>Nature Physics</w:t>
      </w:r>
      <w:r>
        <w:rPr/>
        <w:t xml:space="preserve"> 21, 1326–1331. </w:t>
      </w:r>
      <w:hyperlink r:id="rId261">
        <w:r>
          <w:rPr>
            <w:color w:val="000000"/>
            <w:u w:val="single"/>
          </w:rPr>
          <w:t xml:space="preserve">https://doi.org/10.1038/s41567-025-02930-9</w:t>
        </w:r>
      </w:hyperlink>
      <w:r>
        <w:rPr/>
        <w:t>.</w:t>
      </w:r>
      <w:r>
        <w:rPr/>
        <w:t xml:space="preserve"> </w:t>
      </w:r>
      <w:hyperlink r:id="rId20">
        <w:r>
          <w:rPr>
            <w:color w:val="000000"/>
            <w:u w:val="single"/>
          </w:rPr>
          <w:t xml:space="preserve">https://www.nature.com/articles/s41567-025-02930-9</w:t>
        </w:r>
      </w:hyperlink>
      <w:r>
        <w:rPr/>
        <w:t>.</w:t>
      </w:r>
      <w:r>
        <w:rPr/>
        <w:t xml:space="preserve"> </w:t>
      </w:r>
      <w:hyperlink r:id="rId262">
        <w:r>
          <w:rPr>
            <w:color w:val="000000"/>
            <w:u w:val="single"/>
          </w:rPr>
          <w:t xml:space="preserve">https://arxiv.org/abs/2407.21690</w:t>
        </w:r>
      </w:hyperlink>
      <w:r>
        <w:rPr/>
        <w:t>.</w:t>
      </w:r>
    </w:p>
    <w:p>
      <w:pPr>
        <w:pStyle w:val="Reference"/>
      </w:pPr>
      <w:r>
        <w:rPr/>
        <w:t>Access: publisher article extracts including methods and information-thermodynamic results, and author abstract. Use: quench and reconstruction in coupled one-dimensional Bose gases; partitions, correlations and reservoir state matter. Aimet and Tajik are co-first authors. The original abbreviated “Tajik et al.” chain omitted the first author. This is not a direct observation of the framework's transducer stages.</w:t>
      </w:r>
    </w:p>
    <w:p>
      <w:pPr>
        <w:pStyle w:val="Heading3"/>
      </w:pPr>
      <w:bookmarkStart w:id="396" w:name="v5_l691"/>
      <w:r>
        <w:rPr>
          <w:sz w:val="26"/>
        </w:rPr>
        <w:t>I19 Black-hole Landauer relation</w:t>
      </w:r>
      <w:bookmarkEnd w:id="396"/>
    </w:p>
    <w:p>
      <w:pPr>
        <w:pStyle w:val="Reference"/>
      </w:pPr>
      <w:r>
        <w:rPr/>
        <w:t xml:space="preserve">Cortês, M., and Liddle, A. R. 2024. Hawking evaporation and the Landauer Principle. </w:t>
      </w:r>
      <w:hyperlink r:id="rId263">
        <w:r>
          <w:rPr>
            <w:color w:val="000000"/>
            <w:u w:val="single"/>
          </w:rPr>
          <w:t xml:space="preserve">https://arxiv.org/abs/2407.08777v2</w:t>
        </w:r>
      </w:hyperlink>
      <w:r>
        <w:rPr/>
        <w:t>.</w:t>
      </w:r>
      <w:r>
        <w:rPr/>
        <w:t xml:space="preserve"> </w:t>
      </w:r>
      <w:hyperlink r:id="rId215">
        <w:r>
          <w:rPr>
            <w:color w:val="000000"/>
            <w:u w:val="single"/>
          </w:rPr>
          <w:t xml:space="preserve">https://arxiv.org/html/2407.08777v2</w:t>
        </w:r>
      </w:hyperlink>
      <w:r>
        <w:rPr/>
        <w:t>.</w:t>
      </w:r>
      <w:r>
        <w:rPr/>
        <w:t xml:space="preserve"> </w:t>
      </w:r>
      <w:hyperlink r:id="rId264">
        <w:r>
          <w:rPr>
            <w:color w:val="000000"/>
            <w:u w:val="single"/>
          </w:rPr>
          <w:t xml:space="preserve">https://doi.org/10.48550/arXiv.2407.08777</w:t>
        </w:r>
      </w:hyperlink>
      <w:r>
        <w:rPr/>
        <w:t>.</w:t>
      </w:r>
    </w:p>
    <w:p>
      <w:pPr>
        <w:pStyle w:val="Reference"/>
      </w:pPr>
      <w:r>
        <w:rPr/>
        <w:t xml:space="preserve">Access: author HTML entropy–mass derivation and scope discussion, and arXiv submission/revision metadata (11 July / 12 August 2024). An HTML body date displayed in 2026 is not substituted for that history. Use: differential Schwarzschild entropy–mass–temperature relation, with a separately discussed phenomenological extension. The authors leave the information-loss question aside. The result is </w:t>
      </w:r>
      <w:r>
        <w:rPr>
          <w:b/>
        </w:rPr>
        <w:t>theoretical, not experimental</w:t>
      </w:r>
      <w:r>
        <w:rPr/>
        <w:t>; prior dependency correction V501 remains intact.</w:t>
      </w:r>
    </w:p>
    <w:p>
      <w:pPr>
        <w:pStyle w:val="Heading3"/>
      </w:pPr>
      <w:bookmarkStart w:id="397" w:name="v5_l697"/>
      <w:r>
        <w:rPr>
          <w:sz w:val="26"/>
        </w:rPr>
        <w:t>I20 Cosmological entropy construction</w:t>
      </w:r>
      <w:bookmarkEnd w:id="397"/>
    </w:p>
    <w:p>
      <w:pPr>
        <w:pStyle w:val="Reference"/>
      </w:pPr>
      <w:r>
        <w:rPr/>
        <w:t xml:space="preserve">Odintsov, S. D., Paul, T., and SenGupta, S. 2025 version. Natural validation of the second law of thermodynamics in cosmology. Originally submitted 2024; v2 dated 4 February 2025. </w:t>
      </w:r>
      <w:hyperlink r:id="rId265">
        <w:r>
          <w:rPr>
            <w:color w:val="000000"/>
            <w:u w:val="single"/>
          </w:rPr>
          <w:t xml:space="preserve">https://arxiv.org/abs/2409.05009v2</w:t>
        </w:r>
      </w:hyperlink>
      <w:r>
        <w:rPr/>
        <w:t>.</w:t>
      </w:r>
      <w:r>
        <w:rPr/>
        <w:t xml:space="preserve"> </w:t>
      </w:r>
      <w:hyperlink r:id="rId217">
        <w:r>
          <w:rPr>
            <w:color w:val="000000"/>
            <w:u w:val="single"/>
          </w:rPr>
          <w:t xml:space="preserve">https://arxiv.org/html/2409.05009v2</w:t>
        </w:r>
      </w:hyperlink>
      <w:r>
        <w:rPr/>
        <w:t>.</w:t>
      </w:r>
    </w:p>
    <w:p>
      <w:pPr>
        <w:pStyle w:val="Reference"/>
      </w:pPr>
      <w:r>
        <w:rPr/>
        <w:t>Access: author HTML introduction and FLRW apparent-horizon setup. Use: spatially flat FLRW, apparent-horizon entropy/temperature and the authors' matter-temperature construction. Their transition result is model-specific. Not evidence for a universal reset law across all cosmic eras or for an independently measured cosmological entropy account.</w:t>
      </w:r>
    </w:p>
    <w:p>
      <w:pPr>
        <w:pStyle w:val="Heading3"/>
      </w:pPr>
      <w:bookmarkStart w:id="398" w:name="v5_l703"/>
      <w:r>
        <w:rPr>
          <w:sz w:val="26"/>
        </w:rPr>
        <w:t>I21 Everett formulation</w:t>
      </w:r>
      <w:bookmarkEnd w:id="398"/>
    </w:p>
    <w:p>
      <w:pPr>
        <w:pStyle w:val="Reference"/>
      </w:pPr>
      <w:r>
        <w:rPr/>
        <w:t xml:space="preserve">Everett, H., III. 1957. “Relative State” formulation of quantum mechanics. </w:t>
      </w:r>
      <w:r>
        <w:rPr>
          <w:i/>
        </w:rPr>
        <w:t>Reviews of Modern Physics</w:t>
      </w:r>
      <w:r>
        <w:rPr/>
        <w:t xml:space="preserve"> 29, 454–462. </w:t>
      </w:r>
      <w:hyperlink r:id="rId266">
        <w:r>
          <w:rPr>
            <w:color w:val="000000"/>
            <w:u w:val="single"/>
          </w:rPr>
          <w:t xml:space="preserve">https://doi.org/10.1103/RevModPhys.29.454</w:t>
        </w:r>
      </w:hyperlink>
      <w:r>
        <w:rPr/>
        <w:t>.</w:t>
      </w:r>
      <w:r>
        <w:rPr/>
        <w:t xml:space="preserve"> </w:t>
      </w:r>
      <w:hyperlink r:id="rId267">
        <w:r>
          <w:rPr>
            <w:color w:val="000000"/>
            <w:u w:val="single"/>
          </w:rPr>
          <w:t xml:space="preserve">https://journals.aps.org/rmp/abstract/10.1103/RevModPhys.29.454</w:t>
        </w:r>
      </w:hyperlink>
      <w:r>
        <w:rPr/>
        <w:t>.</w:t>
      </w:r>
      <w:r>
        <w:rPr/>
        <w:t xml:space="preserve"> Original-paper scan inspected: </w:t>
      </w:r>
      <w:hyperlink r:id="rId268">
        <w:r>
          <w:rPr>
            <w:color w:val="000000"/>
            <w:u w:val="single"/>
          </w:rPr>
          <w:t xml:space="preserve">https://quantmagic.narod.ru/Articles/Everett.pdf</w:t>
        </w:r>
      </w:hyperlink>
      <w:r>
        <w:rPr/>
        <w:t>.</w:t>
      </w:r>
    </w:p>
    <w:p>
      <w:pPr>
        <w:pStyle w:val="Reference"/>
      </w:pPr>
      <w:r>
        <w:rPr/>
        <w:t>Access: publisher metadata, with publisher full text access-limited, and original-paper scan extract. Use: unitary relative-state formulation. Branch resource multiplication and a heat penalty per branch are not results of this paper. The Bell-state calculation in this volume is independent elementary algebra, not attributed to a claim about all Everettian histories.</w:t>
      </w:r>
    </w:p>
    <w:p>
      <w:pPr>
        <w:pStyle w:val="Heading3"/>
      </w:pPr>
      <w:bookmarkStart w:id="399" w:name="v5_l709"/>
      <w:r>
        <w:rPr>
          <w:sz w:val="26"/>
        </w:rPr>
        <w:t>I22 Entanglement Past Hypothesis</w:t>
      </w:r>
      <w:bookmarkEnd w:id="399"/>
    </w:p>
    <w:p>
      <w:pPr>
        <w:pStyle w:val="Reference"/>
      </w:pPr>
      <w:r>
        <w:rPr/>
        <w:t xml:space="preserve">Al-Khalili, J., and Chen, E. K. 2024. The decoherent arrow of time and the Entanglement Past Hypothesis. </w:t>
      </w:r>
      <w:r>
        <w:rPr>
          <w:i/>
        </w:rPr>
        <w:t>Foundations of Physics</w:t>
      </w:r>
      <w:r>
        <w:rPr/>
        <w:t xml:space="preserve"> 54, 49. </w:t>
      </w:r>
      <w:hyperlink r:id="rId269">
        <w:r>
          <w:rPr>
            <w:color w:val="000000"/>
            <w:u w:val="single"/>
          </w:rPr>
          <w:t xml:space="preserve">https://doi.org/10.1007/s10701-024-00785-3</w:t>
        </w:r>
      </w:hyperlink>
      <w:r>
        <w:rPr/>
        <w:t>.</w:t>
      </w:r>
      <w:r>
        <w:rPr/>
        <w:t xml:space="preserve"> </w:t>
      </w:r>
      <w:hyperlink r:id="rId270">
        <w:r>
          <w:rPr>
            <w:color w:val="000000"/>
            <w:u w:val="single"/>
          </w:rPr>
          <w:t xml:space="preserve">https://arxiv.org/abs/2405.03418</w:t>
        </w:r>
      </w:hyperlink>
      <w:r>
        <w:rPr/>
        <w:t>.</w:t>
      </w:r>
      <w:r>
        <w:rPr/>
        <w:t xml:space="preserve"> Published author copy: </w:t>
      </w:r>
      <w:hyperlink r:id="rId271">
        <w:r>
          <w:rPr>
            <w:color w:val="000000"/>
            <w:u w:val="single"/>
          </w:rPr>
          <w:t xml:space="preserve">https://philsci-archive.pitt.edu/23719/1/Al-Khalili_Chen_FoP%202024.pdf</w:t>
        </w:r>
      </w:hyperlink>
      <w:r>
        <w:rPr/>
        <w:t>.</w:t>
      </w:r>
    </w:p>
    <w:p>
      <w:pPr>
        <w:pStyle w:val="Reference"/>
      </w:pPr>
      <w:r>
        <w:rPr/>
        <w:t>Access: author abstract and published-paper extract. Use: proposed low-entanglement boundary condition and acknowledged open questions. It does not prove branchwise irreversible heat generation or establish one arrow as experimentally more fundamental.</w:t>
      </w:r>
    </w:p>
    <w:p>
      <w:pPr>
        <w:pStyle w:val="Heading3"/>
      </w:pPr>
      <w:bookmarkStart w:id="400" w:name="v5_l715"/>
      <w:r>
        <w:rPr>
          <w:sz w:val="26"/>
        </w:rPr>
        <w:t>I23 Whole-brain emulation roadmap</w:t>
      </w:r>
      <w:bookmarkEnd w:id="400"/>
    </w:p>
    <w:p>
      <w:pPr>
        <w:pStyle w:val="Reference"/>
      </w:pPr>
      <w:r>
        <w:rPr/>
        <w:t xml:space="preserve">Sandberg, A., and Bostrom, N. 2008. </w:t>
      </w:r>
      <w:r>
        <w:rPr>
          <w:i/>
        </w:rPr>
        <w:t>Whole brain emulation: A roadmap</w:t>
      </w:r>
      <w:r>
        <w:rPr/>
        <w:t xml:space="preserve">. Future of Humanity Institute Technical Report 2008-3. </w:t>
      </w:r>
      <w:hyperlink r:id="rId272">
        <w:r>
          <w:rPr>
            <w:color w:val="000000"/>
            <w:u w:val="single"/>
          </w:rPr>
          <w:t xml:space="preserve">https://ora.ox.ac.uk/objects/uuid%3Aa6880196-34c7-47a0-80f1-74d32ab98788</w:t>
        </w:r>
      </w:hyperlink>
      <w:r>
        <w:rPr/>
        <w:t>.</w:t>
      </w:r>
      <w:r>
        <w:rPr/>
        <w:t xml:space="preserve"> </w:t>
      </w:r>
      <w:hyperlink r:id="rId273">
        <w:r>
          <w:rPr>
            <w:color w:val="000000"/>
            <w:u w:val="single"/>
          </w:rPr>
          <w:t xml:space="preserve">https://www.fhi.ox.ac.uk/reports/2008-3.pdf</w:t>
        </w:r>
      </w:hyperlink>
      <w:r>
        <w:rPr/>
        <w:t>.</w:t>
      </w:r>
    </w:p>
    <w:p>
      <w:pPr>
        <w:pStyle w:val="Reference"/>
      </w:pPr>
      <w:r>
        <w:rPr/>
        <w:t>Access: institutional record and technical-report excerpts. Use: technical prerequisites and research-proposal status, not a demonstration. No current claim of achieved personal transfer is inferred from a historical roadmap; the chapter makes no forecast or exhaustive claim about all current simulation projects.</w:t>
      </w:r>
    </w:p>
    <w:p>
      <w:pPr>
        <w:pStyle w:val="Heading3"/>
      </w:pPr>
      <w:bookmarkStart w:id="401" w:name="v5_l721"/>
      <w:r>
        <w:rPr>
          <w:sz w:val="26"/>
        </w:rPr>
        <w:t>I24 Neuromorphic language-model study</w:t>
      </w:r>
      <w:bookmarkEnd w:id="401"/>
    </w:p>
    <w:p>
      <w:pPr>
        <w:pStyle w:val="Reference"/>
      </w:pPr>
      <w:r>
        <w:rPr/>
        <w:t xml:space="preserve">Abreu, S., Shrestha, S. B., Zhu, R.-J., and Eshraghian, J. 2025. Neuromorphic principles for efficient large language models on Intel Loihi 2. ICLR SCOPE workshop; </w:t>
      </w:r>
      <w:hyperlink r:id="rId274">
        <w:r>
          <w:rPr>
            <w:color w:val="000000"/>
            <w:u w:val="single"/>
          </w:rPr>
          <w:t xml:space="preserve">https://arxiv.org/abs/2503.18002v2</w:t>
        </w:r>
      </w:hyperlink>
      <w:r>
        <w:rPr/>
        <w:t>;</w:t>
      </w:r>
      <w:r>
        <w:rPr/>
        <w:t xml:space="preserve"> </w:t>
      </w:r>
      <w:hyperlink r:id="rId275">
        <w:r>
          <w:rPr>
            <w:color w:val="000000"/>
            <w:u w:val="single"/>
          </w:rPr>
          <w:t xml:space="preserve">https://arxiv.org/html/2503.18002v2</w:t>
        </w:r>
      </w:hyperlink>
      <w:r>
        <w:rPr/>
        <w:t>.</w:t>
      </w:r>
    </w:p>
    <w:p>
      <w:pPr>
        <w:pStyle w:val="Reference"/>
      </w:pPr>
      <w:r>
        <w:rPr/>
        <w:t>Access: v1 and latest v2 HTML, with abstract, results and relevant Appendix A.4 passages inspected. Use: preliminary component-based estimates, multi-chip implementation, and omitted embedding/unembedding stages. “ICLR 2025” is narrowed to the workshop. No end-to-end measured twofold advantage, universal neuromorphic ratio, or biological equivalence is claimed.</w:t>
      </w:r>
    </w:p>
    <w:p>
      <w:pPr>
        <w:pStyle w:val="Heading3"/>
      </w:pPr>
      <w:bookmarkStart w:id="402" w:name="v5_l727"/>
      <w:r>
        <w:rPr>
          <w:sz w:val="26"/>
        </w:rPr>
        <w:t>I25 Hala Point developer announcement</w:t>
      </w:r>
      <w:bookmarkEnd w:id="402"/>
    </w:p>
    <w:p>
      <w:pPr>
        <w:pStyle w:val="Reference"/>
      </w:pPr>
      <w:r>
        <w:rPr/>
        <w:t xml:space="preserve">Intel. 2024. Intel builds world's largest neuromorphic system to enable more sustainable AI. 17 April 2024. </w:t>
      </w:r>
      <w:hyperlink r:id="rId276">
        <w:r>
          <w:rPr>
            <w:color w:val="000000"/>
            <w:u w:val="single"/>
          </w:rPr>
          <w:t xml:space="preserve">https://newsroom.intel.com/artificial-intelligence/intel-builds-worlds-largest-neuromorphic-system-to-enable-more-sustainable-ai</w:t>
        </w:r>
      </w:hyperlink>
      <w:r>
        <w:rPr/>
        <w:t>.</w:t>
      </w:r>
      <w:r>
        <w:rPr/>
        <w:t xml:space="preserve"> Archived announcement with footnotes: </w:t>
      </w:r>
      <w:hyperlink r:id="rId277">
        <w:r>
          <w:rPr>
            <w:color w:val="000000"/>
            <w:u w:val="single"/>
          </w:rPr>
          <w:t xml:space="preserve">https://download.intel.com/newsroom/archive/2025/en-us-2024-04-17-intel-builds-worlds-largest-neuromorphic-system-to-enable-more-sustainable-ai.pdf</w:t>
        </w:r>
      </w:hyperlink>
      <w:r>
        <w:rPr/>
        <w:t>.</w:t>
      </w:r>
    </w:p>
    <w:p>
      <w:pPr>
        <w:pStyle w:val="Reference"/>
      </w:pPr>
      <w:r>
        <w:rPr/>
        <w:t>Access: developer announcement and benchmark footnotes. Use: historical research-system description. This is a first-party performance claim, not independent validation. Its synthetic sparse MLP characterization and earlier Loihi workload citations do not establish a general Hala Point speedup or an owl-brain-equivalent function.</w:t>
      </w:r>
    </w:p>
    <w:p>
      <w:pPr>
        <w:pStyle w:val="Heading3"/>
      </w:pPr>
      <w:bookmarkStart w:id="403" w:name="v5_l733"/>
      <w:r>
        <w:rPr>
          <w:sz w:val="26"/>
        </w:rPr>
        <w:t>I26 Sandia deployment record</w:t>
      </w:r>
      <w:bookmarkEnd w:id="403"/>
    </w:p>
    <w:p>
      <w:pPr>
        <w:pStyle w:val="Reference"/>
      </w:pPr>
      <w:r>
        <w:rPr/>
        <w:t xml:space="preserve">Sandia National Laboratories. 2025 reporting period. Advancing neuromorphic computing at the Neural Exploration and Research Lab. </w:t>
      </w:r>
      <w:hyperlink r:id="rId278">
        <w:r>
          <w:rPr>
            <w:color w:val="000000"/>
            <w:u w:val="single"/>
          </w:rPr>
          <w:t xml:space="preserve">https://www.sandia.gov/news/publications/hpc-annual-reports/article/advancing-neuromorphic-computing-at-the-neural-exploration-and-research-lab/</w:t>
        </w:r>
      </w:hyperlink>
      <w:r>
        <w:rPr/>
        <w:t>.</w:t>
      </w:r>
      <w:r>
        <w:rPr/>
        <w:t xml:space="preserve"> Related institutional report: </w:t>
      </w:r>
      <w:hyperlink r:id="rId279">
        <w:r>
          <w:rPr>
            <w:color w:val="000000"/>
            <w:u w:val="single"/>
          </w:rPr>
          <w:t xml:space="preserve">https://www.sandia.gov/app/uploads/sites/81/2025/06/labnews_06-12-25.pdf</w:t>
        </w:r>
      </w:hyperlink>
      <w:r>
        <w:rPr/>
        <w:t>.</w:t>
      </w:r>
    </w:p>
    <w:p>
      <w:pPr>
        <w:pStyle w:val="Reference"/>
      </w:pPr>
      <w:r>
        <w:rPr/>
        <w:t>Access: institutional report and June 2025 newsletter extract. Use: deployment of SpiNNaker2 and Loihi2; not a task-matched biology comparison. The reported eighteenfold GPU efficiency statement lacks a common-task specification adequate for this chapter, so its number is not imported. The original tenfold predecessor-efficiency claim is not verified by these retrieved records.</w:t>
      </w:r>
    </w:p>
    <w:p>
      <w:pPr>
        <w:pStyle w:val="Heading3"/>
      </w:pPr>
      <w:bookmarkStart w:id="404" w:name="v5_l739"/>
      <w:r>
        <w:rPr>
          <w:sz w:val="26"/>
        </w:rPr>
        <w:t>I27 Reversible-computing theory</w:t>
      </w:r>
      <w:bookmarkEnd w:id="404"/>
    </w:p>
    <w:p>
      <w:pPr>
        <w:pStyle w:val="Reference"/>
      </w:pPr>
      <w:r>
        <w:rPr/>
        <w:t xml:space="preserve">Frank, M. P., and Shukla, K. 2021. Quantum foundations of classical reversible computing. </w:t>
      </w:r>
      <w:r>
        <w:rPr>
          <w:i/>
        </w:rPr>
        <w:t>Entropy</w:t>
      </w:r>
      <w:r>
        <w:rPr/>
        <w:t xml:space="preserve"> 23, 701. </w:t>
      </w:r>
      <w:hyperlink r:id="rId280">
        <w:r>
          <w:rPr>
            <w:color w:val="000000"/>
            <w:u w:val="single"/>
          </w:rPr>
          <w:t xml:space="preserve">https://doi.org/10.3390/e23060701</w:t>
        </w:r>
      </w:hyperlink>
      <w:r>
        <w:rPr/>
        <w:t>.</w:t>
      </w:r>
      <w:r>
        <w:rPr/>
        <w:t xml:space="preserve"> </w:t>
      </w:r>
      <w:hyperlink r:id="rId281">
        <w:r>
          <w:rPr>
            <w:color w:val="000000"/>
            <w:u w:val="single"/>
          </w:rPr>
          <w:t xml:space="preserve">https://arxiv.org/abs/2105.00065</w:t>
        </w:r>
      </w:hyperlink>
      <w:r>
        <w:rPr/>
        <w:t>.</w:t>
      </w:r>
      <w:r>
        <w:rPr/>
        <w:t xml:space="preserve"> </w:t>
      </w:r>
      <w:hyperlink r:id="rId282">
        <w:r>
          <w:rPr>
            <w:color w:val="000000"/>
            <w:u w:val="single"/>
          </w:rPr>
          <w:t xml:space="preserve">https://pmc.ncbi.nlm.nih.gov/articles/PMC8228632/</w:t>
        </w:r>
      </w:hyperlink>
      <w:r>
        <w:rPr/>
        <w:t>.</w:t>
      </w:r>
      <w:r>
        <w:rPr/>
        <w:t xml:space="preserve"> Institutional paper: </w:t>
      </w:r>
      <w:hyperlink r:id="rId283">
        <w:r>
          <w:rPr>
            <w:color w:val="000000"/>
            <w:u w:val="single"/>
          </w:rPr>
          <w:t xml:space="preserve">https://www.sandia.gov/app/uploads/sites/210/2022/06/QFoCRC-OSTIv2.pdf</w:t>
        </w:r>
      </w:hyperlink>
      <w:r>
        <w:rPr/>
        <w:t>.</w:t>
      </w:r>
    </w:p>
    <w:p>
      <w:pPr>
        <w:pStyle w:val="Reference"/>
      </w:pPr>
      <w:r>
        <w:rPr/>
        <w:t>Access: article theory extracts and author abstract. Use: nonequilibrium quantum description and research directions for reversible computing. Corrects the original author attribution “Frank, Ammerål, and others.” Does not establish Ice River measurements or a commercial delivery date.</w:t>
      </w:r>
    </w:p>
    <w:p>
      <w:pPr>
        <w:pStyle w:val="Heading3"/>
      </w:pPr>
      <w:bookmarkStart w:id="405" w:name="v5_l745"/>
      <w:r>
        <w:rPr>
          <w:sz w:val="26"/>
        </w:rPr>
        <w:t>I28 Origin of longevity escape velocity proposal</w:t>
      </w:r>
      <w:bookmarkEnd w:id="405"/>
    </w:p>
    <w:p>
      <w:pPr>
        <w:pStyle w:val="Reference"/>
      </w:pPr>
      <w:r>
        <w:rPr/>
        <w:t xml:space="preserve">de Grey, A. D. N. J. 2004. Escape velocity: Why the prospect of extreme human life extension matters now. </w:t>
      </w:r>
      <w:r>
        <w:rPr>
          <w:i/>
        </w:rPr>
        <w:t>PLOS Biology</w:t>
      </w:r>
      <w:r>
        <w:rPr/>
        <w:t xml:space="preserve"> 2(6), e187. </w:t>
      </w:r>
      <w:hyperlink r:id="rId284">
        <w:r>
          <w:rPr>
            <w:color w:val="000000"/>
            <w:u w:val="single"/>
          </w:rPr>
          <w:t xml:space="preserve">https://doi.org/10.1371/journal.pbio.0020187</w:t>
        </w:r>
      </w:hyperlink>
      <w:r>
        <w:rPr/>
        <w:t>.</w:t>
      </w:r>
      <w:r>
        <w:rPr/>
        <w:t xml:space="preserve"> </w:t>
      </w:r>
      <w:hyperlink r:id="rId285">
        <w:r>
          <w:rPr>
            <w:color w:val="000000"/>
            <w:u w:val="single"/>
          </w:rPr>
          <w:t xml:space="preserve">https://journals.plos.org/plosbiology/article?id=10.1371/journal.pbio.0020187</w:t>
        </w:r>
      </w:hyperlink>
      <w:r>
        <w:rPr/>
        <w:t>.</w:t>
      </w:r>
    </w:p>
    <w:p>
      <w:pPr>
        <w:pStyle w:val="Reference"/>
      </w:pPr>
      <w:r>
        <w:rPr/>
        <w:t>Access: publisher record and argument summary. Use: a prospective concept, not an intervention trial. No efficacy, safety, date of arrival, or ranking is taken from this essay.</w:t>
      </w:r>
    </w:p>
    <w:p>
      <w:pPr>
        <w:pStyle w:val="Heading3"/>
      </w:pPr>
      <w:bookmarkStart w:id="406" w:name="v5_l751"/>
      <w:r>
        <w:rPr>
          <w:sz w:val="26"/>
        </w:rPr>
        <w:t>I29 Human longevity trend evidence</w:t>
      </w:r>
      <w:bookmarkEnd w:id="406"/>
    </w:p>
    <w:p>
      <w:pPr>
        <w:pStyle w:val="Reference"/>
      </w:pPr>
      <w:r>
        <w:rPr/>
        <w:t xml:space="preserve">Olshansky, S. J., Willcox, B. J., Demetrius, L., and Beltrán-Sánchez, H. 2024. Implausibility of radical life extension in humans in the twenty-first century. </w:t>
      </w:r>
      <w:r>
        <w:rPr>
          <w:i/>
        </w:rPr>
        <w:t>Nature Aging</w:t>
      </w:r>
      <w:r>
        <w:rPr/>
        <w:t xml:space="preserve"> 4, 1635–1642. </w:t>
      </w:r>
      <w:hyperlink r:id="rId286">
        <w:r>
          <w:rPr>
            <w:color w:val="000000"/>
            <w:u w:val="single"/>
          </w:rPr>
          <w:t xml:space="preserve">https://doi.org/10.1038/s43587-024-00702-3</w:t>
        </w:r>
      </w:hyperlink>
      <w:r>
        <w:rPr/>
        <w:t>.</w:t>
      </w:r>
      <w:r>
        <w:rPr/>
        <w:t xml:space="preserve"> </w:t>
      </w:r>
      <w:hyperlink r:id="rId287">
        <w:r>
          <w:rPr>
            <w:color w:val="000000"/>
            <w:u w:val="single"/>
          </w:rPr>
          <w:t xml:space="preserve">https://www.nature.com/articles/s43587-024-00702-3</w:t>
        </w:r>
      </w:hyperlink>
      <w:r>
        <w:rPr/>
        <w:t>.</w:t>
      </w:r>
    </w:p>
    <w:p>
      <w:pPr>
        <w:pStyle w:val="Reference"/>
      </w:pPr>
      <w:r>
        <w:rPr/>
        <w:t>Access: publisher article abstract, analysis and conclusion extracts. Use: demographic analysis under its population and historical-period definitions. It is not an absolute physical maximum on an individual's lifespan, proof against all future interventions, or a clinical recommendation.</w:t>
      </w:r>
    </w:p>
    <w:p>
      <w:pPr>
        <w:pStyle w:val="Heading3"/>
      </w:pPr>
      <w:bookmarkStart w:id="407" w:name="v5_l757"/>
      <w:r>
        <w:rPr>
          <w:sz w:val="26"/>
        </w:rPr>
        <w:t>I30 Zurek monograph metadata</w:t>
      </w:r>
      <w:bookmarkEnd w:id="407"/>
    </w:p>
    <w:p>
      <w:pPr>
        <w:pStyle w:val="Reference"/>
      </w:pPr>
      <w:r>
        <w:rPr/>
        <w:t xml:space="preserve">Zurek, W. H. 2025. </w:t>
      </w:r>
      <w:r>
        <w:rPr>
          <w:i/>
        </w:rPr>
        <w:t>Decoherence and Quantum Darwinism: From Quantum Foundations to Classical Reality</w:t>
      </w:r>
      <w:r>
        <w:rPr/>
        <w:t xml:space="preserve">. Cambridge University Press. </w:t>
      </w:r>
      <w:hyperlink r:id="rId288">
        <w:r>
          <w:rPr>
            <w:color w:val="000000"/>
            <w:u w:val="single"/>
          </w:rPr>
          <w:t xml:space="preserve">https://doi.org/10.1017/9781009552868</w:t>
        </w:r>
      </w:hyperlink>
      <w:r>
        <w:rPr/>
        <w:t>.</w:t>
      </w:r>
      <w:r>
        <w:rPr/>
        <w:t xml:space="preserve"> </w:t>
      </w:r>
      <w:hyperlink r:id="rId289">
        <w:r>
          <w:rPr>
            <w:color w:val="000000"/>
            <w:u w:val="single"/>
          </w:rPr>
          <w:t xml:space="preserve">https://www.cambridge.org/core/books/decoherence-and-quantum-darwinism/E851B8F658044E4BF549AAEEB7B47B37</w:t>
        </w:r>
      </w:hyperlink>
      <w:r>
        <w:rPr/>
        <w:t>.</w:t>
      </w:r>
      <w:r>
        <w:rPr/>
        <w:t xml:space="preserve"> </w:t>
      </w:r>
      <w:hyperlink r:id="rId290">
        <w:r>
          <w:rPr>
            <w:color w:val="000000"/>
            <w:u w:val="single"/>
          </w:rPr>
          <w:t xml:space="preserve">https://assets.cambridge.org/97810095/52905/frontmatter/9781009552905_frontmatter.pdf</w:t>
        </w:r>
      </w:hyperlink>
      <w:r>
        <w:rPr/>
        <w:t>.</w:t>
      </w:r>
    </w:p>
    <w:p>
      <w:pPr>
        <w:pStyle w:val="Reference"/>
      </w:pPr>
      <w:r>
        <w:rPr/>
        <w:t>Access: publisher description, metadata and frontmatter only; full book not read. Original source mention is retained in this disposition record. Scientific claims in the revised body rely on I07–I08 instead of calling an access-limited book “definitive.”</w:t>
      </w:r>
    </w:p>
    <w:p>
      <w:pPr>
        <w:pStyle w:val="Heading3"/>
      </w:pPr>
      <w:bookmarkStart w:id="408" w:name="v5_l763"/>
      <w:r>
        <w:rPr>
          <w:sz w:val="26"/>
        </w:rPr>
        <w:t>I31 Analogue Hawking experiment</w:t>
      </w:r>
      <w:bookmarkEnd w:id="408"/>
    </w:p>
    <w:p>
      <w:pPr>
        <w:pStyle w:val="Reference"/>
      </w:pPr>
      <w:r>
        <w:rPr/>
        <w:t xml:space="preserve">Muñoz de Nova, J. R., Golubkov, K., Kolobov, V. I., and Steinhauer, J. 2019. Observation of thermal Hawking radiation and its temperature in an analogue black hole. </w:t>
      </w:r>
      <w:r>
        <w:rPr>
          <w:i/>
        </w:rPr>
        <w:t>Nature</w:t>
      </w:r>
      <w:r>
        <w:rPr/>
        <w:t xml:space="preserve"> 569, 688–691. </w:t>
      </w:r>
      <w:hyperlink r:id="rId291">
        <w:r>
          <w:rPr>
            <w:color w:val="000000"/>
            <w:u w:val="single"/>
          </w:rPr>
          <w:t xml:space="preserve">https://doi.org/10.1038/s41586-019-1241-0</w:t>
        </w:r>
      </w:hyperlink>
      <w:r>
        <w:rPr/>
        <w:t>.</w:t>
      </w:r>
      <w:r>
        <w:rPr/>
        <w:t xml:space="preserve"> </w:t>
      </w:r>
      <w:hyperlink r:id="rId292">
        <w:r>
          <w:rPr>
            <w:color w:val="000000"/>
            <w:u w:val="single"/>
          </w:rPr>
          <w:t xml:space="preserve">https://www.nature.com/articles/s41586-019-1241-0</w:t>
        </w:r>
      </w:hyperlink>
      <w:r>
        <w:rPr/>
        <w:t>.</w:t>
      </w:r>
      <w:r>
        <w:rPr/>
        <w:t xml:space="preserve"> </w:t>
      </w:r>
      <w:hyperlink r:id="rId293">
        <w:r>
          <w:rPr>
            <w:color w:val="000000"/>
            <w:u w:val="single"/>
          </w:rPr>
          <w:t xml:space="preserve">https://arxiv.org/abs/1809.00913</w:t>
        </w:r>
      </w:hyperlink>
      <w:r>
        <w:rPr/>
        <w:t>.</w:t>
      </w:r>
    </w:p>
    <w:p>
      <w:pPr>
        <w:pStyle w:val="Reference"/>
      </w:pPr>
      <w:r>
        <w:rPr/>
        <w:t>Access: publisher abstract and author abstract. Use: correlations and temperature in an analogue platform. Does not constitute observation of astrophysical evaporation, a Page curve of an actual black hole, or a test of Cortês–Liddle's calculation.</w:t>
      </w:r>
    </w:p>
    <w:p>
      <w:pPr>
        <w:pStyle w:val="Heading3"/>
      </w:pPr>
      <w:bookmarkStart w:id="409" w:name="v5_l769"/>
      <w:r>
        <w:rPr>
          <w:sz w:val="26"/>
        </w:rPr>
        <w:t>I32 Stationary black-hole mechanics</w:t>
      </w:r>
      <w:bookmarkEnd w:id="409"/>
    </w:p>
    <w:p>
      <w:pPr>
        <w:pStyle w:val="Reference"/>
      </w:pPr>
      <w:r>
        <w:rPr/>
        <w:t xml:space="preserve">Bardeen, J. M., Carter, B., and Hawking, S. W. 1973. The four laws of black hole mechanics. </w:t>
      </w:r>
      <w:r>
        <w:rPr>
          <w:i/>
        </w:rPr>
        <w:t>Communications in Mathematical Physics</w:t>
      </w:r>
      <w:r>
        <w:rPr/>
        <w:t xml:space="preserve"> 31, 161–170. </w:t>
      </w:r>
      <w:hyperlink r:id="rId294">
        <w:r>
          <w:rPr>
            <w:color w:val="000000"/>
            <w:u w:val="single"/>
          </w:rPr>
          <w:t xml:space="preserve">https://doi.org/10.1007/BF01645742</w:t>
        </w:r>
      </w:hyperlink>
      <w:r>
        <w:rPr/>
        <w:t>.</w:t>
      </w:r>
      <w:r>
        <w:rPr/>
        <w:t xml:space="preserve"> </w:t>
      </w:r>
      <w:hyperlink r:id="rId295">
        <w:r>
          <w:rPr>
            <w:color w:val="000000"/>
            <w:u w:val="single"/>
          </w:rPr>
          <w:t xml:space="preserve">https://projecteuclid.org/journals/communications-in-mathematical-physics/volume-31/issue-2/The-four-laws-of-black-hole-mechanics/cmp/1103858973.pdf</w:t>
        </w:r>
      </w:hyperlink>
      <w:r>
        <w:rPr/>
        <w:t>.</w:t>
      </w:r>
    </w:p>
    <w:p>
      <w:pPr>
        <w:pStyle w:val="Reference"/>
      </w:pPr>
      <w:r>
        <w:rPr/>
        <w:t>Access: original paper extract. Use: stationary axisymmetric black-hole mechanics, including angular-momentum terms. The Kerr entropy equation is explicitly reconstructed in I-CALC-02 with fixed mass and zero charge. Schwarzschild dE = T dS is not generalized by silently dropping rotational work.</w:t>
      </w:r>
    </w:p>
    <w:p>
      <w:pPr>
        <w:pStyle w:val="Heading3"/>
      </w:pPr>
      <w:bookmarkStart w:id="410" w:name="v5_l775"/>
      <w:r>
        <w:rPr>
          <w:sz w:val="26"/>
        </w:rPr>
        <w:t>I33 Stochastic thermodynamic scope</w:t>
      </w:r>
      <w:bookmarkEnd w:id="410"/>
    </w:p>
    <w:p>
      <w:pPr>
        <w:pStyle w:val="Reference"/>
      </w:pPr>
      <w:r>
        <w:rPr/>
        <w:t xml:space="preserve">Seifert, U. 2012. Stochastic thermodynamics, fluctuation theorems and molecular machines. </w:t>
      </w:r>
      <w:r>
        <w:rPr>
          <w:i/>
        </w:rPr>
        <w:t>Reports on Progress in Physics</w:t>
      </w:r>
      <w:r>
        <w:rPr/>
        <w:t xml:space="preserve"> 75, 126001. </w:t>
      </w:r>
      <w:hyperlink r:id="rId296">
        <w:r>
          <w:rPr>
            <w:color w:val="000000"/>
            <w:u w:val="single"/>
          </w:rPr>
          <w:t xml:space="preserve">https://doi.org/10.1088/0034-4885/75/12/126001</w:t>
        </w:r>
      </w:hyperlink>
      <w:r>
        <w:rPr/>
        <w:t>.</w:t>
      </w:r>
      <w:r>
        <w:rPr/>
        <w:t xml:space="preserve"> </w:t>
      </w:r>
      <w:hyperlink r:id="rId297">
        <w:r>
          <w:rPr>
            <w:color w:val="000000"/>
            <w:u w:val="single"/>
          </w:rPr>
          <w:t xml:space="preserve">https://arxiv.org/abs/1205.4176</w:t>
        </w:r>
      </w:hyperlink>
      <w:r>
        <w:rPr/>
        <w:t>.</w:t>
      </w:r>
      <w:r>
        <w:rPr/>
        <w:t xml:space="preserve"> Author-paper copy: </w:t>
      </w:r>
      <w:hyperlink r:id="rId298">
        <w:r>
          <w:rPr>
            <w:color w:val="000000"/>
            <w:u w:val="single"/>
          </w:rPr>
          <w:t xml:space="preserve">https://terpconnect.umd.edu/~cjarzyns/CHEM-CHPH-PHYS_703_Spr_20/resources/Rep%20Prog%20Phys%202012%20Seifert.pdf</w:t>
        </w:r>
      </w:hyperlink>
      <w:r>
        <w:rPr/>
        <w:t>.</w:t>
      </w:r>
    </w:p>
    <w:p>
      <w:pPr>
        <w:pStyle w:val="Reference"/>
      </w:pPr>
      <w:r>
        <w:rPr/>
        <w:t>Access: author abstract and paper text extract. Use: heat-bath-coupled, specified stochastic ensembles and fluctuating trajectories. Supports separating macroscopic or average production statements from every single-event claim. Does not make aging one scalar entropy variable.</w:t>
      </w:r>
    </w:p>
    <w:p>
      <w:pPr>
        <w:pStyle w:val="Heading3"/>
      </w:pPr>
      <w:bookmarkStart w:id="411" w:name="v5_l781"/>
      <w:r>
        <w:rPr>
          <w:sz w:val="26"/>
        </w:rPr>
        <w:t>I34 Cosmological apparent-horizon proposal</w:t>
      </w:r>
      <w:bookmarkEnd w:id="411"/>
    </w:p>
    <w:p>
      <w:pPr>
        <w:pStyle w:val="Reference"/>
      </w:pPr>
      <w:r>
        <w:rPr/>
        <w:t xml:space="preserve">Trivedi, O. 2024. Landauer's principle and information at the cosmological horizon. </w:t>
      </w:r>
      <w:hyperlink r:id="rId299">
        <w:r>
          <w:rPr>
            <w:color w:val="000000"/>
            <w:u w:val="single"/>
          </w:rPr>
          <w:t xml:space="preserve">https://arxiv.org/abs/2407.15231v3</w:t>
        </w:r>
      </w:hyperlink>
      <w:r>
        <w:rPr/>
        <w:t>.</w:t>
      </w:r>
      <w:r>
        <w:rPr/>
        <w:t xml:space="preserve"> </w:t>
      </w:r>
      <w:hyperlink r:id="rId216">
        <w:r>
          <w:rPr>
            <w:color w:val="000000"/>
            <w:u w:val="single"/>
          </w:rPr>
          <w:t xml:space="preserve">https://arxiv.org/html/2407.15231v3</w:t>
        </w:r>
      </w:hyperlink>
      <w:r>
        <w:rPr/>
        <w:t>.</w:t>
      </w:r>
      <w:r>
        <w:rPr/>
        <w:t xml:space="preserve"> Latest inspected revision 25 December 2024.</w:t>
      </w:r>
    </w:p>
    <w:p>
      <w:pPr>
        <w:pStyle w:val="Reference"/>
      </w:pPr>
      <w:r>
        <w:rPr/>
        <w:t>Access: metadata, author abstract, HTML introduction and model setup. Use: a specific apparent-horizon thermodynamic construction and its claimed tension. “Cosmological information paradox” is the author's terminology, not evidence for a generally established violation of Landauer's principle. The revision does not adopt the paper's broad statement that every computation necessarily dissipates energy.</w:t>
      </w:r>
    </w:p>
    <w:p>
      <w:pPr>
        <w:pStyle w:val="Heading2"/>
        <w:pageBreakBefore/>
        <w:spacing w:before="280" w:after="220"/>
      </w:pPr>
      <w:bookmarkStart w:id="412" w:name="v5_l788"/>
      <w:r>
        <w:rPr>
          <w:sz w:val="36"/>
        </w:rPr>
        <w:t>Cosmology source access and unresolved numerical discrepancy</w:t>
      </w:r>
      <w:bookmarkEnd w:id="412"/>
    </w:p>
    <w:p>
      <w:pPr/>
      <w:r>
        <w:rPr/>
        <w:t>“Targeted full-text” below means the specified sections of an accessible primary text were examined; it does not mean every derivation was independently reproduced. Metadata/abstract-only entries support only the narrow qualitative use stated. No claim of exhaustive literature coverage or human peer review is made.</w:t>
      </w:r>
    </w:p>
    <w:p>
      <w:pPr/>
      <w:r>
        <w:rPr>
          <w:b/>
        </w:rPr>
        <w:t>C01.</w:t>
      </w:r>
      <w:r>
        <w:rPr/>
        <w:t xml:space="preserve"> Access scope: Primary arXiv v3 HTML abstract, §I.1–I.2, Table 1, component definitions, horizon/interior distinction; abstract supplies Table 2 central totals. Conditions and limits: Historical flat cosmology and its chosen volumes; no current-census certification.</w:t>
      </w:r>
    </w:p>
    <w:p>
      <w:pPr/>
      <w:r>
        <w:rPr>
          <w:b/>
        </w:rPr>
        <w:t>C02.</w:t>
      </w:r>
      <w:r>
        <w:rPr/>
        <w:t xml:space="preserve"> Access scope: v2 abstract/metadata; HTML §§1–3, 7–9 and Table 3; PDF parsed equations on printed pp24–25 and Table 3 on p37; independent reviewer visually checked those three pages. Conditions and limits: See discrepancy below; no numerical repair invented.</w:t>
      </w:r>
    </w:p>
    <w:p>
      <w:pPr/>
      <w:r>
        <w:rPr>
          <w:b/>
        </w:rPr>
        <w:t>C03.</w:t>
      </w:r>
      <w:r>
        <w:rPr/>
        <w:t xml:space="preserve"> Access scope: v1 primary abstract and repository status. Conditions and limits: Submitted preprint; specific population synthesis, mass range and redshift result, not a verified cosmic history.</w:t>
      </w:r>
    </w:p>
    <w:p>
      <w:pPr/>
      <w:r>
        <w:rPr>
          <w:b/>
        </w:rPr>
        <w:t>C04.</w:t>
      </w:r>
      <w:r>
        <w:rPr/>
        <w:t xml:space="preserve"> Access scope: Publisher abstract and accessible original-paper search extract. Conditions and limits: Complete bounded system and gravitational assumptions; not universal cosmological application.</w:t>
      </w:r>
    </w:p>
    <w:p>
      <w:pPr/>
      <w:r>
        <w:rPr>
          <w:b/>
        </w:rPr>
        <w:t>C05.</w:t>
      </w:r>
      <w:r>
        <w:rPr/>
        <w:t xml:space="preserve"> Access scope: Bekenstein and Hawking publisher abstracts/metadata; Schwarzschild equations also directly checked in C28 §II. Conditions and limits: No primary full-paper derivation re-audit; semiclassical law rather than experimental evaporation.</w:t>
      </w:r>
    </w:p>
    <w:p>
      <w:pPr/>
      <w:r>
        <w:rPr>
          <w:b/>
        </w:rPr>
        <w:t>C06.</w:t>
      </w:r>
      <w:r>
        <w:rPr/>
        <w:t xml:space="preserve"> Access scope: Primary publisher-hosted full-text opening and abstract via indexed record. Conditions and limits: Positive cosmological constant setting; equations cross-checked with C01/C02 and direct algebra.</w:t>
      </w:r>
    </w:p>
    <w:p>
      <w:pPr/>
      <w:r>
        <w:rPr>
          <w:b/>
        </w:rPr>
        <w:t>C07.</w:t>
      </w:r>
      <w:r>
        <w:rPr/>
        <w:t xml:space="preserve"> Access scope: Primary arXiv abstract. Conditions and limits: Original conjecture; null light-sheet qualifications retained, not claimed unrestricted proof.</w:t>
      </w:r>
    </w:p>
    <w:p>
      <w:pPr/>
      <w:r>
        <w:rPr>
          <w:b/>
        </w:rPr>
        <w:t>C08.</w:t>
      </w:r>
      <w:r>
        <w:rPr/>
        <w:t xml:space="preserve"> Access scope: v5 primary abstract, accessible HTML construction and scope, static-patch result. Conditions and limits: Observer-dressed semiclassical construction; additive entropy normalization; no arbitrary-cosmology extension.</w:t>
      </w:r>
    </w:p>
    <w:p>
      <w:pPr/>
      <w:r>
        <w:rPr>
          <w:b/>
        </w:rPr>
        <w:t>C09.</w:t>
      </w:r>
      <w:r>
        <w:rPr/>
        <w:t xml:space="preserve"> Access scope: v2 primary HTML abstract, introduction and stated derivation assumptions. Conditions and limits: Equipartition regime and sign-dependent deformation; no universal Planck-scale tightening.</w:t>
      </w:r>
    </w:p>
    <w:p>
      <w:pPr/>
      <w:r>
        <w:rPr>
          <w:b/>
        </w:rPr>
        <w:t>C10.</w:t>
      </w:r>
      <w:r>
        <w:rPr/>
        <w:t xml:space="preserve"> Access scope: v16 primary abstract and metadata. Conditions and limits: A proposed local thermodynamics; dimension claim confined to that construction.</w:t>
      </w:r>
    </w:p>
    <w:p>
      <w:pPr/>
      <w:r>
        <w:rPr>
          <w:b/>
        </w:rPr>
        <w:t>C11.</w:t>
      </w:r>
      <w:r>
        <w:rPr/>
        <w:t xml:space="preserve"> Access scope: Primary abstract and metadata, with continuity to earlier verified volume discussion. Conditions and limits: Stochastic microscopically reversible process and heat-bath/work setup, not arbitrary cosmic free energy.</w:t>
      </w:r>
    </w:p>
    <w:p>
      <w:pPr/>
      <w:r>
        <w:rPr>
          <w:b/>
        </w:rPr>
        <w:t>C12.</w:t>
      </w:r>
      <w:r>
        <w:rPr/>
        <w:t xml:space="preserve"> Access scope: Primary experiment abstract and publisher identity. Conditions and limits: Neutral B-meson result suffices to refute all-laws T symmetry; no claim that it explains thermodynamic arrow.</w:t>
      </w:r>
    </w:p>
    <w:p>
      <w:pPr/>
      <w:r>
        <w:rPr>
          <w:b/>
        </w:rPr>
        <w:t>C13.</w:t>
      </w:r>
      <w:r>
        <w:rPr/>
        <w:t xml:space="preserve"> Access scope: v1 primary abstract and metadata. Conditions and limits: Explicitly a proposed cosmology, not source of a settled initial-condition theorem.</w:t>
      </w:r>
    </w:p>
    <w:p>
      <w:pPr/>
      <w:r>
        <w:rPr>
          <w:b/>
        </w:rPr>
        <w:t>C14.</w:t>
      </w:r>
      <w:r>
        <w:rPr/>
        <w:t xml:space="preserve"> Access scope: v1 primary HTML abstract, simple system–environment model and entropy distinctions. Conditions and limits: Subsystem partition and proposal status retained; closed-system unitary entropy distinguished.</w:t>
      </w:r>
    </w:p>
    <w:p>
      <w:pPr/>
      <w:r>
        <w:rPr>
          <w:b/>
        </w:rPr>
        <w:t>C15.</w:t>
      </w:r>
      <w:r>
        <w:rPr/>
        <w:t xml:space="preserve"> Access scope: v1 primary abstract; HTML §§2–3 available and initial-projector statement checked against author manuscript extract. Conditions and limits: The cited specific account is a 2022 preprint, not the original's conflated 2021/2024 award description.</w:t>
      </w:r>
    </w:p>
    <w:p>
      <w:pPr/>
      <w:r>
        <w:rPr>
          <w:b/>
        </w:rPr>
        <w:t>C16.</w:t>
      </w:r>
      <w:r>
        <w:rPr/>
        <w:t xml:space="preserve"> Access scope: Primary abstract and bibliographic metadata. Conditions and limits: Retains gravity-in-entropy versus entropy-of-gravity distinction only; no field entropy formula adopted.</w:t>
      </w:r>
    </w:p>
    <w:p>
      <w:pPr/>
      <w:r>
        <w:rPr>
          <w:b/>
        </w:rPr>
        <w:t>C17.</w:t>
      </w:r>
      <w:r>
        <w:rPr/>
        <w:t xml:space="preserve"> Access scope: v1 primary HTML abstract and introduction. Conditions and limits: Standard Model with physical Higgs mass; crossover, not claim of grand unification.</w:t>
      </w:r>
    </w:p>
    <w:p>
      <w:pPr/>
      <w:r>
        <w:rPr>
          <w:b/>
        </w:rPr>
        <w:t>C18.</w:t>
      </w:r>
      <w:r>
        <w:rPr/>
        <w:t xml:space="preserve"> Access scope: Primary arXiv abstract/metadata and baseline parameters. Conditions and limits: ΛCDM present energy-density fractions; approximate rounded fractions only.</w:t>
      </w:r>
    </w:p>
    <w:p>
      <w:pPr/>
      <w:r>
        <w:rPr>
          <w:b/>
        </w:rPr>
        <w:t>C19.</w:t>
      </w:r>
      <w:r>
        <w:rPr/>
        <w:t xml:space="preserve"> Access scope: Original publisher abstract and primary paper first-page extract. Conditions and limits: Early collapse model, not evidence that PBHs exist.</w:t>
      </w:r>
    </w:p>
    <w:p>
      <w:pPr/>
      <w:r>
        <w:rPr>
          <w:b/>
        </w:rPr>
        <w:t>C20.</w:t>
      </w:r>
      <w:r>
        <w:rPr/>
        <w:t xml:space="preserve"> Access scope: v3 primary metadata and abstract result. Conditions and limits: Combination-specific 2024 significance range; no standalone DESI discovery claim.</w:t>
      </w:r>
    </w:p>
    <w:p>
      <w:pPr/>
      <w:r>
        <w:rPr>
          <w:b/>
        </w:rPr>
        <w:t>C21.</w:t>
      </w:r>
      <w:r>
        <w:rPr/>
        <w:t xml:space="preserve"> Access scope: v3 primary HTML abstract, §VII.1–VII.3, Table 6 and conclusions. Conditions and limits: CMB and SNe choices explicit; no significance pooling.</w:t>
      </w:r>
    </w:p>
    <w:p>
      <w:pPr/>
      <w:r>
        <w:rPr>
          <w:b/>
        </w:rPr>
        <w:t>C22.</w:t>
      </w:r>
      <w:r>
        <w:rPr/>
        <w:t xml:space="preserve"> Access scope: v3 primary metadata, abstract, §VI.4.1, Table 4 and discussion; v1 initially inspected but superseded for citation. Conditions and limits: Submitted 29 July 2026; announcement 30 July; v3 4 August. Current-date targeted update, not prediction of later releases.</w:t>
      </w:r>
    </w:p>
    <w:p>
      <w:pPr/>
      <w:r>
        <w:rPr>
          <w:b/>
        </w:rPr>
        <w:t>C23.</w:t>
      </w:r>
      <w:r>
        <w:rPr/>
        <w:t xml:space="preserve"> Access scope: Primary abstract and metadata; standard FLRW null-geodesic formulas independently checked in the calculation record. Conditions and limits: Definitions and analytic examples do not require adopting the paper's historical parameter values.</w:t>
      </w:r>
    </w:p>
    <w:p>
      <w:pPr/>
      <w:r>
        <w:rPr>
          <w:b/>
        </w:rPr>
        <w:t>C24.</w:t>
      </w:r>
      <w:r>
        <w:rPr/>
        <w:t xml:space="preserve"> Access scope: Primary abstract and metadata. Conditions and limits: Conditional constant/sustained phantom model; no assertion all </w:t>
      </w:r>
      <m:oMath>
        <m:r>
          <m:rPr>
            <m:sty m:val="i"/>
          </m:rPr>
          <w:rPr>
            <w:rFonts w:ascii="Latin Modern Math" w:hAnsi="Latin Modern Math"/>
          </w:rPr>
          <m:t xml:space="preserve">w &lt; </m:t>
        </m:r>
        <m:r>
          <m:rPr>
            <m:nor m:val="1"/>
            <m:sty m:val="p"/>
          </m:rPr>
          <w:rPr>
            <w:rFonts w:ascii="Latin Modern Math" w:hAnsi="Latin Modern Math"/>
          </w:rPr>
          <m:t xml:space="preserve">−1</m:t>
        </m:r>
      </m:oMath>
      <w:r>
        <w:rPr/>
        <w:t xml:space="preserve"> histories rip.</w:t>
      </w:r>
    </w:p>
    <w:p>
      <w:pPr/>
      <w:r>
        <w:rPr>
          <w:b/>
        </w:rPr>
        <w:t>C25.</w:t>
      </w:r>
      <w:r>
        <w:rPr/>
        <w:t xml:space="preserve"> Access scope: Primary abstract, publisher identity and original-paper indexed extract. Conditions and limits: Used only to identify conditional far-future inquiry; no numerical date adopted.</w:t>
      </w:r>
    </w:p>
    <w:p>
      <w:pPr/>
      <w:r>
        <w:rPr>
          <w:b/>
        </w:rPr>
        <w:t>C26, C27, C36.</w:t>
      </w:r>
      <w:r>
        <w:rPr/>
        <w:t xml:space="preserve"> Access scope: Primary abstracts and version metadata. Conditions and limits: Their explicit JT/CFT or AdS/CFT settings preserved; no general experimental claim.</w:t>
      </w:r>
    </w:p>
    <w:p>
      <w:pPr/>
      <w:r>
        <w:rPr>
          <w:b/>
        </w:rPr>
        <w:t>C28.</w:t>
      </w:r>
      <w:r>
        <w:rPr/>
        <w:t xml:space="preserve"> Access scope: v2 primary full HTML §II equations 1–6, environment discussion and abstract. Conditions and limits: </w:t>
      </w:r>
      <m:oMath>
        <m:r>
          <m:rPr>
            <m:nor m:val="1"/>
            <m:sty m:val="p"/>
          </m:rPr>
          <w:rPr>
            <w:rFonts w:ascii="Latin Modern Math" w:hAnsi="Latin Modern Math"/>
          </w:rPr>
          <m:t xml:space="preserve">d</m:t>
        </m:r>
        <m:r>
          <m:rPr>
            <m:sty m:val="i"/>
          </m:rPr>
          <w:rPr>
            <w:rFonts w:ascii="Latin Modern Math" w:hAnsi="Latin Modern Math"/>
          </w:rPr>
          <m:t xml:space="preserve">E = </m:t>
        </m:r>
        <m:sSub>
          <m:e>
            <m:r>
              <m:rPr>
                <m:sty m:val="i"/>
              </m:rPr>
              <w:rPr>
                <w:rFonts w:ascii="Latin Modern Math" w:hAnsi="Latin Modern Math"/>
              </w:rPr>
              <m:t xml:space="preserve">T</m:t>
            </m:r>
          </m:e>
          <m:sub>
            <m:r>
              <m:rPr>
                <m:nor m:val="1"/>
                <m:sty m:val="p"/>
              </m:rPr>
              <w:rPr>
                <w:rFonts w:ascii="Latin Modern Math" w:hAnsi="Latin Modern Math"/>
              </w:rPr>
              <m:t xml:space="preserve">H</m:t>
            </m:r>
          </m:sub>
        </m:sSub>
        <m:r>
          <m:rPr>
            <m:nor m:val="1"/>
            <m:sty m:val="p"/>
          </m:rPr>
          <w:rPr>
            <w:rFonts w:ascii="Latin Modern Math" w:hAnsi="Latin Modern Math"/>
          </w:rPr>
          <m:t xml:space="preserve"> d</m:t>
        </m:r>
        <m:sSub>
          <m:e>
            <m:r>
              <m:rPr>
                <m:sty m:val="i"/>
              </m:rPr>
              <w:rPr>
                <w:rFonts w:ascii="Latin Modern Math" w:hAnsi="Latin Modern Math"/>
              </w:rPr>
              <m:t xml:space="preserve">S</m:t>
            </m:r>
          </m:e>
          <m:sub>
            <m:r>
              <m:rPr>
                <m:nor m:val="1"/>
                <m:sty m:val="p"/>
              </m:rPr>
              <w:rPr>
                <w:rFonts w:ascii="Latin Modern Math" w:hAnsi="Latin Modern Math"/>
              </w:rPr>
              <m:t xml:space="preserve">BH</m:t>
            </m:r>
          </m:sub>
        </m:sSub>
      </m:oMath>
      <w:r>
        <w:rPr/>
        <w:t xml:space="preserve"> identity and small entropy decrement; not complete-state information destruction.</w:t>
      </w:r>
    </w:p>
    <w:p>
      <w:pPr/>
      <w:r>
        <w:rPr>
          <w:b/>
        </w:rPr>
        <w:t>C29.</w:t>
      </w:r>
      <w:r>
        <w:rPr/>
        <w:t xml:space="preserve"> Access scope: v3 primary HTML abstract, introduction and identified apparent-horizon setup. Conditions and limits: Paper's interpretation labeled model-specific; not endorsed as demonstrated violation.</w:t>
      </w:r>
    </w:p>
    <w:p>
      <w:pPr/>
      <w:r>
        <w:rPr>
          <w:b/>
        </w:rPr>
        <w:t>C30.</w:t>
      </w:r>
      <w:r>
        <w:rPr/>
        <w:t xml:space="preserve"> Access scope: v2 primary HTML abstract, setup, thermal-equilibrium and entropy-balance discussion. Conditions and limits: Apparent horizon, matter/horizon temperature prescriptions; no universal conservation result.</w:t>
      </w:r>
    </w:p>
    <w:p>
      <w:pPr/>
      <w:r>
        <w:rPr>
          <w:b/>
        </w:rPr>
        <w:t>C31, C32.</w:t>
      </w:r>
      <w:r>
        <w:rPr/>
        <w:t xml:space="preserve"> Access scope: Exact primary identities and interpretation from preserved corrected Volume 1 references and their source review. Conditions and limits: This pass did not re-retrieve those full papers; C33 freshly checks scoped erasure statement.</w:t>
      </w:r>
    </w:p>
    <w:p>
      <w:pPr/>
      <w:r>
        <w:rPr>
          <w:b/>
        </w:rPr>
        <w:t>C33.</w:t>
      </w:r>
      <w:r>
        <w:rPr/>
        <w:t xml:space="preserve"> Access scope: v3 primary abstract and HTML introduction/setup outline. Conditions and limits: Reservoir/correlation scope and reversible ideal limit; no positive total-production floor.</w:t>
      </w:r>
    </w:p>
    <w:p>
      <w:pPr/>
      <w:r>
        <w:rPr>
          <w:b/>
        </w:rPr>
        <w:t>C34.</w:t>
      </w:r>
      <w:r>
        <w:rPr/>
        <w:t xml:space="preserve"> Access scope: Primary publisher indexed abstract/metadata and author's publication list; direct publisher page returned 403. Conditions and limits: Only qualitative identification of coherent-field axion production retained; no abundance/parameter result.</w:t>
      </w:r>
    </w:p>
    <w:p>
      <w:pPr/>
      <w:r>
        <w:rPr>
          <w:b/>
        </w:rPr>
        <w:t>C35.</w:t>
      </w:r>
      <w:r>
        <w:rPr/>
        <w:t xml:space="preserve"> Access scope: Author-uploaded primary-paper abstract indexed in search and exact DOI metadata; DOI route failed and direct publisher page returned 403. Conditions and limits: Only qualitative thermal relic mechanism retained; no numeric formula or calculation attributed to unavailable full text.</w:t>
      </w:r>
    </w:p>
    <w:p>
      <w:pPr/>
      <w:r>
        <w:rPr/>
        <w:t>The primary URLs appear in the C reference list above. Failed direct access was not described as successful full-text retrieval. Several arXiv HTML renderings display “August 24, 2026” within old manuscripts; version metadata, rather than that generated body date, controls the citation. This specifically affects C14, C17 and C28 in the inspected rendering.</w:t>
      </w:r>
    </w:p>
    <w:p>
      <w:pPr>
        <w:pStyle w:val="Heading3"/>
      </w:pPr>
      <w:bookmarkStart w:id="413" w:name="v5_l860"/>
      <w:r>
        <w:rPr>
          <w:sz w:val="26"/>
        </w:rPr>
        <w:t>The census discrepancy that remains open</w:t>
      </w:r>
      <w:bookmarkEnd w:id="413"/>
    </w:p>
    <w:p>
      <w:pPr/>
      <w:r>
        <w:rPr/>
        <w:t xml:space="preserve">C02's PDF main text gives central SMBH entropy </w:t>
      </w:r>
      <m:oMath>
        <m:r>
          <m:rPr>
            <m:nor m:val="1"/>
            <m:sty m:val="p"/>
          </m:rPr>
          <w:rPr>
            <w:rFonts w:ascii="Latin Modern Math" w:hAnsi="Latin Modern Math"/>
          </w:rPr>
          <m:t xml:space="preserve">8.56 × </m:t>
        </m:r>
        <m:sSup>
          <m:e>
            <m:r>
              <m:rPr>
                <m:nor m:val="1"/>
                <m:sty m:val="p"/>
              </m:rPr>
              <w:rPr>
                <w:rFonts w:ascii="Latin Modern Math" w:hAnsi="Latin Modern Math"/>
              </w:rPr>
              <m:t xml:space="preserve">10</m:t>
            </m:r>
          </m:e>
          <m:sup>
            <m:r>
              <m:rPr>
                <m:nor m:val="1"/>
                <m:sty m:val="p"/>
              </m:rPr>
              <w:rPr>
                <w:rFonts w:ascii="Latin Modern Math" w:hAnsi="Latin Modern Math"/>
              </w:rPr>
              <m:t xml:space="preserve">101</m:t>
            </m:r>
          </m:sup>
        </m:sSup>
        <m:r>
          <m:rPr>
            <m:sty m:val="i"/>
          </m:rPr>
          <w:rPr>
            <w:rFonts w:ascii="Latin Modern Math" w:hAnsi="Latin Modern Math"/>
          </w:rPr>
          <m:t xml:space="preserve"> </m:t>
        </m:r>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for its stated </w:t>
      </w:r>
      <m:oMath>
        <m:sSup>
          <m:e>
            <m:r>
              <m:rPr>
                <m:nor m:val="1"/>
                <m:sty m:val="p"/>
              </m:rPr>
              <w:rPr>
                <w:rFonts w:ascii="Latin Modern Math" w:hAnsi="Latin Modern Math"/>
              </w:rPr>
              <m:t xml:space="preserve">10</m:t>
            </m:r>
          </m:e>
          <m:sup>
            <m:r>
              <m:rPr>
                <m:nor m:val="1"/>
                <m:sty m:val="p"/>
              </m:rPr>
              <w:rPr>
                <w:rFonts w:ascii="Latin Modern Math" w:hAnsi="Latin Modern Math"/>
              </w:rPr>
              <m:t xml:space="preserve">7</m:t>
            </m:r>
          </m:sup>
        </m:sSup>
        <m:r>
          <m:rPr>
            <m:sty m:val="i"/>
          </m:rPr>
          <w:rPr>
            <w:rFonts w:ascii="Latin Modern Math" w:hAnsi="Latin Modern Math"/>
          </w:rPr>
          <m:t xml:space="preserve">–</m:t>
        </m:r>
        <m:sSup>
          <m:e>
            <m:r>
              <m:rPr>
                <m:nor m:val="1"/>
                <m:sty m:val="p"/>
              </m:rPr>
              <w:rPr>
                <w:rFonts w:ascii="Latin Modern Math" w:hAnsi="Latin Modern Math"/>
              </w:rPr>
              <m:t xml:space="preserve">10</m:t>
            </m:r>
          </m:e>
          <m:sup>
            <m:r>
              <m:rPr>
                <m:nor m:val="1"/>
                <m:sty m:val="p"/>
              </m:rPr>
              <w:rPr>
                <w:rFonts w:ascii="Latin Modern Math" w:hAnsi="Latin Modern Math"/>
              </w:rPr>
              <m:t xml:space="preserve">9.7</m:t>
            </m:r>
          </m:sup>
        </m:sSup>
      </m:oMath>
      <w:r>
        <w:rPr/>
        <w:t xml:space="preserve"> solar-mass range (Eq7.1), and stellar-black-hole entropy </w:t>
      </w:r>
      <m:oMath>
        <m:r>
          <m:rPr>
            <m:nor m:val="1"/>
            <m:sty m:val="p"/>
          </m:rPr>
          <w:rPr>
            <w:rFonts w:ascii="Latin Modern Math" w:hAnsi="Latin Modern Math"/>
          </w:rPr>
          <m:t xml:space="preserve">5.35 × </m:t>
        </m:r>
        <m:sSup>
          <m:e>
            <m:r>
              <m:rPr>
                <m:nor m:val="1"/>
                <m:sty m:val="p"/>
              </m:rPr>
              <w:rPr>
                <w:rFonts w:ascii="Latin Modern Math" w:hAnsi="Latin Modern Math"/>
              </w:rPr>
              <m:t xml:space="preserve">10</m:t>
            </m:r>
          </m:e>
          <m:sup>
            <m:r>
              <m:rPr>
                <m:nor m:val="1"/>
                <m:sty m:val="p"/>
              </m:rPr>
              <w:rPr>
                <w:rFonts w:ascii="Latin Modern Math" w:hAnsi="Latin Modern Math"/>
              </w:rPr>
              <m:t xml:space="preserve">96</m:t>
            </m:r>
          </m:sup>
        </m:sSup>
        <m:r>
          <m:rPr>
            <m:sty m:val="i"/>
          </m:rPr>
          <w:rPr>
            <w:rFonts w:ascii="Latin Modern Math" w:hAnsi="Latin Modern Math"/>
          </w:rPr>
          <m:t xml:space="preserve"> </m:t>
        </m:r>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(Eq7.10). Its Table 3 instead lists logarithmic values 103.25 and 101.50. No reconciliation or explicit alternative-volume assignment was identified in this review. The ranges may matter; we do not infer the authors' intended corrected aggregate.</w:t>
      </w:r>
    </w:p>
    <w:p>
      <w:pPr/>
      <w:r>
        <w:rPr/>
        <w:t>The numerical disagreement was also checked against the primary PDF pages, not only the HTML extraction. This volume therefore uses C02 qualitatively and does not choose either set as the corrected universe total. Its Table 3 historical-comparator entries must not be substituted for C01's own table.</w:t>
      </w:r>
    </w:p>
    <w:p>
      <w:pPr>
        <w:pStyle w:val="Heading2"/>
        <w:pageBreakBefore/>
        <w:spacing w:before="280" w:after="220"/>
      </w:pPr>
      <w:bookmarkStart w:id="414" w:name="v5_l866"/>
      <w:r>
        <w:rPr>
          <w:sz w:val="36"/>
        </w:rPr>
        <w:t>Information calculation notes</w:t>
      </w:r>
      <w:bookmarkEnd w:id="414"/>
    </w:p>
    <w:p>
      <w:pPr/>
      <w:r>
        <w:rPr/>
        <w:t xml:space="preserve">These checks reproduce numerical arithmetic and elementary identities. They do not validate an empirical input merely because it appears in a formula. Rounded values in the chapters are intentionally less precise. The constants used are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 </m:t>
        </m:r>
        <m:r>
          <m:rPr>
            <m:nor m:val="1"/>
            <m:sty m:val="p"/>
          </m:rPr>
          <w:rPr>
            <w:rFonts w:ascii="Latin Modern Math" w:hAnsi="Latin Modern Math"/>
          </w:rPr>
          <m:t xml:space="preserve">1.380649 × </m:t>
        </m:r>
        <m:sSup>
          <m:e>
            <m:r>
              <m:rPr>
                <m:nor m:val="1"/>
                <m:sty m:val="p"/>
              </m:rPr>
              <w:rPr>
                <w:rFonts w:ascii="Latin Modern Math" w:hAnsi="Latin Modern Math"/>
              </w:rPr>
              <m:t xml:space="preserve">10</m:t>
            </m:r>
          </m:e>
          <m:sup>
            <m:r>
              <m:rPr>
                <m:nor m:val="1"/>
                <m:sty m:val="p"/>
              </m:rPr>
              <w:rPr>
                <w:rFonts w:ascii="Latin Modern Math" w:hAnsi="Latin Modern Math"/>
              </w:rPr>
              <m:t xml:space="preserve">−23</m:t>
            </m:r>
          </m:sup>
        </m:sSup>
        <m:r>
          <m:rPr>
            <m:sty m:val="i"/>
          </m:rPr>
          <w:rPr>
            <w:rFonts w:ascii="Latin Modern Math" w:hAnsi="Latin Modern Math"/>
          </w:rPr>
          <m:t xml:space="preserve"> </m:t>
        </m:r>
        <m:f>
          <m:num>
            <m:r>
              <m:rPr>
                <m:nor m:val="1"/>
                <m:sty m:val="p"/>
              </m:rPr>
              <w:rPr>
                <w:rFonts w:ascii="Latin Modern Math" w:hAnsi="Latin Modern Math"/>
              </w:rPr>
              <m:t xml:space="preserve">J</m:t>
            </m:r>
          </m:num>
          <m:den>
            <m:r>
              <m:rPr>
                <m:nor m:val="1"/>
                <m:sty m:val="p"/>
              </m:rPr>
              <w:rPr>
                <w:rFonts w:ascii="Latin Modern Math" w:hAnsi="Latin Modern Math"/>
              </w:rPr>
              <m:t xml:space="preserve">K</m:t>
            </m:r>
          </m:den>
        </m:f>
      </m:oMath>
      <w:r>
        <w:rPr/>
        <w:t xml:space="preserve">, </w:t>
      </w:r>
      <m:oMath>
        <m:r>
          <m:rPr>
            <m:sty m:val="i"/>
          </m:rPr>
          <w:rPr>
            <w:rFonts w:ascii="Latin Modern Math" w:hAnsi="Latin Modern Math"/>
          </w:rPr>
          <m:t xml:space="preserve">h = </m:t>
        </m:r>
        <m:r>
          <m:rPr>
            <m:nor m:val="1"/>
            <m:sty m:val="p"/>
          </m:rPr>
          <w:rPr>
            <w:rFonts w:ascii="Latin Modern Math" w:hAnsi="Latin Modern Math"/>
          </w:rPr>
          <m:t xml:space="preserve">6.62607015 × </m:t>
        </m:r>
        <m:sSup>
          <m:e>
            <m:r>
              <m:rPr>
                <m:nor m:val="1"/>
                <m:sty m:val="p"/>
              </m:rPr>
              <w:rPr>
                <w:rFonts w:ascii="Latin Modern Math" w:hAnsi="Latin Modern Math"/>
              </w:rPr>
              <m:t xml:space="preserve">10</m:t>
            </m:r>
          </m:e>
          <m:sup>
            <m:r>
              <m:rPr>
                <m:nor m:val="1"/>
                <m:sty m:val="p"/>
              </m:rPr>
              <w:rPr>
                <w:rFonts w:ascii="Latin Modern Math" w:hAnsi="Latin Modern Math"/>
              </w:rPr>
              <m:t xml:space="preserve">−34</m:t>
            </m:r>
          </m:sup>
        </m:sSup>
        <m:r>
          <m:rPr>
            <m:nor m:val="1"/>
            <m:sty m:val="p"/>
          </m:rPr>
          <w:rPr>
            <w:rFonts w:ascii="Latin Modern Math" w:hAnsi="Latin Modern Math"/>
          </w:rPr>
          <m:t xml:space="preserve"> J s</m:t>
        </m:r>
      </m:oMath>
      <w:r>
        <w:rPr/>
        <w:t xml:space="preserve">, </w:t>
      </w:r>
      <m:oMath>
        <m:r>
          <m:rPr>
            <m:sty m:val="i"/>
          </m:rPr>
          <w:rPr>
            <w:rFonts w:ascii="Latin Modern Math" w:hAnsi="Latin Modern Math"/>
          </w:rPr>
          <m:t xml:space="preserve">ħ = </m:t>
        </m:r>
        <m:f>
          <m:num>
            <m:r>
              <m:rPr>
                <m:sty m:val="i"/>
              </m:rPr>
              <w:rPr>
                <w:rFonts w:ascii="Latin Modern Math" w:hAnsi="Latin Modern Math"/>
              </w:rPr>
              <m:t xml:space="preserve">h</m:t>
            </m:r>
          </m:num>
          <m:den>
            <m:r>
              <m:rPr>
                <m:sty m:val="i"/>
              </m:rPr>
              <w:rPr>
                <w:rFonts w:ascii="Latin Modern Math" w:hAnsi="Latin Modern Math"/>
              </w:rPr>
              <m:t xml:space="preserve">2π</m:t>
            </m:r>
          </m:den>
        </m:f>
      </m:oMath>
      <w:r>
        <w:rPr/>
        <w:t xml:space="preserve">, </w:t>
      </w:r>
      <m:oMath>
        <m:r>
          <m:rPr>
            <m:sty m:val="i"/>
          </m:rPr>
          <w:rPr>
            <w:rFonts w:ascii="Latin Modern Math" w:hAnsi="Latin Modern Math"/>
          </w:rPr>
          <m:t xml:space="preserve">c = </m:t>
        </m:r>
        <m:r>
          <m:rPr>
            <m:nor m:val="1"/>
            <m:sty m:val="p"/>
          </m:rPr>
          <w:rPr>
            <w:rFonts w:ascii="Latin Modern Math" w:hAnsi="Latin Modern Math"/>
          </w:rPr>
          <m:t xml:space="preserve">299792458 </m:t>
        </m:r>
        <m:f>
          <m:num>
            <m:r>
              <m:rPr>
                <m:nor m:val="1"/>
                <m:sty m:val="p"/>
              </m:rPr>
              <w:rPr>
                <w:rFonts w:ascii="Latin Modern Math" w:hAnsi="Latin Modern Math"/>
              </w:rPr>
              <m:t xml:space="preserve">m</m:t>
            </m:r>
          </m:num>
          <m:den>
            <m:r>
              <m:rPr>
                <m:nor m:val="1"/>
                <m:sty m:val="p"/>
              </m:rPr>
              <w:rPr>
                <w:rFonts w:ascii="Latin Modern Math" w:hAnsi="Latin Modern Math"/>
              </w:rPr>
              <m:t xml:space="preserve">s</m:t>
            </m:r>
          </m:den>
        </m:f>
      </m:oMath>
      <w:r>
        <w:rPr/>
        <w:t xml:space="preserve">, </w:t>
      </w:r>
      <m:oMath>
        <m:r>
          <m:rPr>
            <m:sty m:val="i"/>
          </m:rPr>
          <w:rPr>
            <w:rFonts w:ascii="Latin Modern Math" w:hAnsi="Latin Modern Math"/>
          </w:rPr>
          <m:t xml:space="preserve">G = </m:t>
        </m:r>
        <m:r>
          <m:rPr>
            <m:nor m:val="1"/>
            <m:sty m:val="p"/>
          </m:rPr>
          <w:rPr>
            <w:rFonts w:ascii="Latin Modern Math" w:hAnsi="Latin Modern Math"/>
          </w:rPr>
          <m:t xml:space="preserve">6.67430 × </m:t>
        </m:r>
        <m:sSup>
          <m:e>
            <m:r>
              <m:rPr>
                <m:nor m:val="1"/>
                <m:sty m:val="p"/>
              </m:rPr>
              <w:rPr>
                <w:rFonts w:ascii="Latin Modern Math" w:hAnsi="Latin Modern Math"/>
              </w:rPr>
              <m:t xml:space="preserve">10</m:t>
            </m:r>
          </m:e>
          <m:sup>
            <m:r>
              <m:rPr>
                <m:nor m:val="1"/>
                <m:sty m:val="p"/>
              </m:rPr>
              <w:rPr>
                <w:rFonts w:ascii="Latin Modern Math" w:hAnsi="Latin Modern Math"/>
              </w:rPr>
              <m:t xml:space="preserve">−11</m:t>
            </m:r>
          </m:sup>
        </m:sSup>
        <m:r>
          <m:rPr>
            <m:sty m:val="i"/>
          </m:rPr>
          <w:rPr>
            <w:rFonts w:ascii="Latin Modern Math" w:hAnsi="Latin Modern Math"/>
          </w:rPr>
          <m:t xml:space="preserve"> </m:t>
        </m:r>
        <m:f>
          <m:num>
            <m:sSup>
              <m:e>
                <m:r>
                  <m:rPr>
                    <m:nor m:val="1"/>
                    <m:sty m:val="p"/>
                  </m:rPr>
                  <w:rPr>
                    <w:rFonts w:ascii="Latin Modern Math" w:hAnsi="Latin Modern Math"/>
                  </w:rPr>
                  <m:t xml:space="preserve">m</m:t>
                </m:r>
              </m:e>
              <m:sup>
                <m:r>
                  <m:rPr>
                    <m:nor m:val="1"/>
                    <m:sty m:val="p"/>
                  </m:rPr>
                  <w:rPr>
                    <w:rFonts w:ascii="Latin Modern Math" w:hAnsi="Latin Modern Math"/>
                  </w:rPr>
                  <m:t xml:space="preserve">3</m:t>
                </m:r>
              </m:sup>
            </m:sSup>
          </m:num>
          <m:den>
            <m:r>
              <m:rPr>
                <m:nor m:val="1"/>
                <m:sty m:val="p"/>
              </m:rPr>
              <w:rPr>
                <w:rFonts w:ascii="Latin Modern Math" w:hAnsi="Latin Modern Math"/>
              </w:rPr>
              <m:t xml:space="preserve">kg </m:t>
            </m:r>
            <m:sSup>
              <m:e>
                <m:r>
                  <m:rPr>
                    <m:nor m:val="1"/>
                    <m:sty m:val="p"/>
                  </m:rPr>
                  <w:rPr>
                    <w:rFonts w:ascii="Latin Modern Math" w:hAnsi="Latin Modern Math"/>
                  </w:rPr>
                  <m:t xml:space="preserve">s</m:t>
                </m:r>
              </m:e>
              <m:sup>
                <m:r>
                  <m:rPr>
                    <m:nor m:val="1"/>
                    <m:sty m:val="p"/>
                  </m:rPr>
                  <w:rPr>
                    <w:rFonts w:ascii="Latin Modern Math" w:hAnsi="Latin Modern Math"/>
                  </w:rPr>
                  <m:t xml:space="preserve">2</m:t>
                </m:r>
              </m:sup>
            </m:sSup>
          </m:den>
        </m:f>
      </m:oMath>
      <w:r>
        <w:rPr/>
        <w:t xml:space="preserve">, </w:t>
      </w:r>
      <m:oMath>
        <m:sSub>
          <m:e>
            <m:r>
              <m:rPr>
                <m:sty m:val="i"/>
              </m:rPr>
              <w:rPr>
                <w:rFonts w:ascii="Latin Modern Math" w:hAnsi="Latin Modern Math"/>
              </w:rPr>
              <m:t xml:space="preserve">M</m:t>
            </m:r>
          </m:e>
          <m:sub>
            <m:r>
              <m:rPr>
                <m:nor m:val="1"/>
                <m:sty m:val="p"/>
              </m:rPr>
              <w:rPr>
                <w:rFonts w:ascii="Latin Modern Math" w:hAnsi="Latin Modern Math"/>
              </w:rPr>
              <m:t xml:space="preserve">⊙</m:t>
            </m:r>
          </m:sub>
        </m:sSub>
        <m:r>
          <m:rPr>
            <m:sty m:val="i"/>
          </m:rPr>
          <w:rPr>
            <w:rFonts w:ascii="Latin Modern Math" w:hAnsi="Latin Modern Math"/>
          </w:rPr>
          <m:t xml:space="preserve"> = </m:t>
        </m:r>
        <m:r>
          <m:rPr>
            <m:nor m:val="1"/>
            <m:sty m:val="p"/>
          </m:rPr>
          <w:rPr>
            <w:rFonts w:ascii="Latin Modern Math" w:hAnsi="Latin Modern Math"/>
          </w:rPr>
          <m:t xml:space="preserve">1.98847 × </m:t>
        </m:r>
        <m:sSup>
          <m:e>
            <m:r>
              <m:rPr>
                <m:nor m:val="1"/>
                <m:sty m:val="p"/>
              </m:rPr>
              <w:rPr>
                <w:rFonts w:ascii="Latin Modern Math" w:hAnsi="Latin Modern Math"/>
              </w:rPr>
              <m:t xml:space="preserve">10</m:t>
            </m:r>
          </m:e>
          <m:sup>
            <m:r>
              <m:rPr>
                <m:nor m:val="1"/>
                <m:sty m:val="p"/>
              </m:rPr>
              <w:rPr>
                <w:rFonts w:ascii="Latin Modern Math" w:hAnsi="Latin Modern Math"/>
              </w:rPr>
              <m:t xml:space="preserve">30</m:t>
            </m:r>
          </m:sup>
        </m:sSup>
        <m:r>
          <m:rPr>
            <m:nor m:val="1"/>
            <m:sty m:val="p"/>
          </m:rPr>
          <w:rPr>
            <w:rFonts w:ascii="Latin Modern Math" w:hAnsi="Latin Modern Math"/>
          </w:rPr>
          <m:t xml:space="preserve"> kg</m:t>
        </m:r>
      </m:oMath>
      <w:r>
        <w:rPr/>
        <w:t xml:space="preserve"> and one Julian year = </w:t>
      </w:r>
      <m:oMath>
        <m:r>
          <m:rPr>
            <m:nor m:val="1"/>
            <m:sty m:val="p"/>
          </m:rPr>
          <w:rPr>
            <w:rFonts w:ascii="Latin Modern Math" w:hAnsi="Latin Modern Math"/>
          </w:rPr>
          <m:t xml:space="preserve">31557600 s</m:t>
        </m:r>
      </m:oMath>
      <w:r>
        <w:rPr/>
        <w:t xml:space="preserve">. The SI defining values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h and c are exact; G and the adopted solar mass are rounded inputs.</w:t>
      </w:r>
    </w:p>
    <w:p>
      <w:pPr>
        <w:pStyle w:val="Heading3"/>
      </w:pPr>
      <w:bookmarkStart w:id="415" w:name="v5_l870"/>
      <w:r>
        <w:rPr>
          <w:sz w:val="26"/>
        </w:rPr>
        <w:t>I-CALC-01 Schwarzschild scales and the lifetime correction</w:t>
      </w:r>
      <w:bookmarkEnd w:id="415"/>
    </w:p>
    <w:p>
      <w:pPr/>
      <w:r>
        <w:rPr/>
        <w:t xml:space="preserve">Assume an isolated, neutral, nonrotating Schwarzschild black hole. The temperature is </w:t>
      </w:r>
      <m:oMath>
        <m:sSub>
          <m:e>
            <m:r>
              <m:rPr>
                <m:sty m:val="i"/>
              </m:rPr>
              <w:rPr>
                <w:rFonts w:ascii="Latin Modern Math" w:hAnsi="Latin Modern Math"/>
              </w:rPr>
              <m:t xml:space="preserve">T</m:t>
            </m:r>
          </m:e>
          <m:sub>
            <m:r>
              <m:rPr>
                <m:nor m:val="1"/>
                <m:sty m:val="p"/>
              </m:rPr>
              <w:rPr>
                <w:rFonts w:ascii="Latin Modern Math" w:hAnsi="Latin Modern Math"/>
              </w:rPr>
              <m:t xml:space="preserve">H</m:t>
            </m:r>
          </m:sub>
        </m:sSub>
        <m:r>
          <m:rPr>
            <m:sty m:val="i"/>
          </m:rPr>
          <w:rPr>
            <w:rFonts w:ascii="Latin Modern Math" w:hAnsi="Latin Modern Math"/>
          </w:rPr>
          <m:t xml:space="preserve"> = </m:t>
        </m:r>
        <m:f>
          <m:num>
            <m:r>
              <m:rPr>
                <m:sty m:val="i"/>
              </m:rPr>
              <w:rPr>
                <w:rFonts w:ascii="Latin Modern Math" w:hAnsi="Latin Modern Math"/>
              </w:rPr>
              <m:t xml:space="preserve">ħ</m:t>
            </m:r>
            <m:sSup>
              <m:e>
                <m:r>
                  <m:rPr>
                    <m:sty m:val="i"/>
                  </m:rPr>
                  <w:rPr>
                    <w:rFonts w:ascii="Latin Modern Math" w:hAnsi="Latin Modern Math"/>
                  </w:rPr>
                  <m:t xml:space="preserve">c</m:t>
                </m:r>
              </m:e>
              <m:sup>
                <m:r>
                  <m:rPr>
                    <m:nor m:val="1"/>
                    <m:sty m:val="p"/>
                  </m:rPr>
                  <w:rPr>
                    <w:rFonts w:ascii="Latin Modern Math" w:hAnsi="Latin Modern Math"/>
                  </w:rPr>
                  <m:t xml:space="preserve">3</m:t>
                </m:r>
              </m:sup>
            </m:sSup>
          </m:num>
          <m:den>
            <m:r>
              <m:rPr>
                <m:sty m:val="i"/>
              </m:rPr>
              <w:rPr>
                <w:rFonts w:ascii="Latin Modern Math" w:hAnsi="Latin Modern Math"/>
              </w:rPr>
              <m:t xml:space="preserve">8πGM</m:t>
            </m:r>
            <m:sSub>
              <m:e>
                <m:r>
                  <m:rPr>
                    <m:sty m:val="i"/>
                  </m:rPr>
                  <w:rPr>
                    <w:rFonts w:ascii="Latin Modern Math" w:hAnsi="Latin Modern Math"/>
                  </w:rPr>
                  <m:t xml:space="preserve">k</m:t>
                </m:r>
              </m:e>
              <m:sub>
                <m:r>
                  <m:rPr>
                    <m:nor m:val="1"/>
                    <m:sty m:val="p"/>
                  </m:rPr>
                  <w:rPr>
                    <w:rFonts w:ascii="Latin Modern Math" w:hAnsi="Latin Modern Math"/>
                  </w:rPr>
                  <m:t xml:space="preserve">B</m:t>
                </m:r>
              </m:sub>
            </m:sSub>
          </m:den>
        </m:f>
      </m:oMath>
      <w:r>
        <w:rPr/>
        <w:t xml:space="preserve">, radius </w:t>
      </w:r>
      <m:oMath>
        <m:sSub>
          <m:e>
            <m:r>
              <m:rPr>
                <m:sty m:val="i"/>
              </m:rPr>
              <w:rPr>
                <w:rFonts w:ascii="Latin Modern Math" w:hAnsi="Latin Modern Math"/>
              </w:rPr>
              <m:t xml:space="preserve">r</m:t>
            </m:r>
          </m:e>
          <m:sub>
            <m:r>
              <m:rPr>
                <m:nor m:val="1"/>
                <m:sty m:val="p"/>
              </m:rPr>
              <w:rPr>
                <w:rFonts w:ascii="Latin Modern Math" w:hAnsi="Latin Modern Math"/>
              </w:rPr>
              <m:t xml:space="preserve">s</m:t>
            </m:r>
          </m:sub>
        </m:sSub>
        <m:r>
          <m:rPr>
            <m:sty m:val="i"/>
          </m:rPr>
          <w:rPr>
            <w:rFonts w:ascii="Latin Modern Math" w:hAnsi="Latin Modern Math"/>
          </w:rPr>
          <m:t xml:space="preserve"> = </m:t>
        </m:r>
        <m:f>
          <m:num>
            <m:r>
              <m:rPr>
                <m:sty m:val="i"/>
              </m:rPr>
              <w:rPr>
                <w:rFonts w:ascii="Latin Modern Math" w:hAnsi="Latin Modern Math"/>
              </w:rPr>
              <m:t xml:space="preserve">2GM</m:t>
            </m:r>
          </m:num>
          <m:den>
            <m:sSup>
              <m:e>
                <m:r>
                  <m:rPr>
                    <m:sty m:val="i"/>
                  </m:rPr>
                  <w:rPr>
                    <w:rFonts w:ascii="Latin Modern Math" w:hAnsi="Latin Modern Math"/>
                  </w:rPr>
                  <m:t xml:space="preserve">c</m:t>
                </m:r>
              </m:e>
              <m:sup>
                <m:r>
                  <m:rPr>
                    <m:nor m:val="1"/>
                    <m:sty m:val="p"/>
                  </m:rPr>
                  <w:rPr>
                    <w:rFonts w:ascii="Latin Modern Math" w:hAnsi="Latin Modern Math"/>
                  </w:rPr>
                  <m:t xml:space="preserve">2</m:t>
                </m:r>
              </m:sup>
            </m:sSup>
          </m:den>
        </m:f>
      </m:oMath>
      <w:r>
        <w:rPr/>
        <w:t xml:space="preserve"> and entropy </w:t>
      </w:r>
      <m:oMath>
        <m:f>
          <m:num>
            <m:sSub>
              <m:e>
                <m:r>
                  <m:rPr>
                    <m:sty m:val="i"/>
                  </m:rPr>
                  <w:rPr>
                    <w:rFonts w:ascii="Latin Modern Math" w:hAnsi="Latin Modern Math"/>
                  </w:rPr>
                  <m:t xml:space="preserve">S</m:t>
                </m:r>
              </m:e>
              <m:sub>
                <m:r>
                  <m:rPr>
                    <m:nor m:val="1"/>
                    <m:sty m:val="p"/>
                  </m:rPr>
                  <w:rPr>
                    <w:rFonts w:ascii="Latin Modern Math" w:hAnsi="Latin Modern Math"/>
                  </w:rPr>
                  <m:t xml:space="preserve">BH</m:t>
                </m:r>
              </m:sub>
            </m:sSub>
          </m:num>
          <m:den>
            <m:sSub>
              <m:e>
                <m:r>
                  <m:rPr>
                    <m:sty m:val="i"/>
                  </m:rPr>
                  <w:rPr>
                    <w:rFonts w:ascii="Latin Modern Math" w:hAnsi="Latin Modern Math"/>
                  </w:rPr>
                  <m:t xml:space="preserve">k</m:t>
                </m:r>
              </m:e>
              <m:sub>
                <m:r>
                  <m:rPr>
                    <m:nor m:val="1"/>
                    <m:sty m:val="p"/>
                  </m:rPr>
                  <w:rPr>
                    <w:rFonts w:ascii="Latin Modern Math" w:hAnsi="Latin Modern Math"/>
                  </w:rPr>
                  <m:t xml:space="preserve">B</m:t>
                </m:r>
              </m:sub>
            </m:sSub>
          </m:den>
        </m:f>
        <m:r>
          <m:rPr>
            <m:sty m:val="i"/>
          </m:rPr>
          <w:rPr>
            <w:rFonts w:ascii="Latin Modern Math" w:hAnsi="Latin Modern Math"/>
          </w:rPr>
          <m:t xml:space="preserve"> = </m:t>
        </m:r>
        <m:f>
          <m:num>
            <m:r>
              <m:rPr>
                <m:sty m:val="i"/>
              </m:rPr>
              <w:rPr>
                <w:rFonts w:ascii="Latin Modern Math" w:hAnsi="Latin Modern Math"/>
              </w:rPr>
              <m:t xml:space="preserve">4πG</m:t>
            </m:r>
            <m:sSup>
              <m:e>
                <m:r>
                  <m:rPr>
                    <m:sty m:val="i"/>
                  </m:rPr>
                  <w:rPr>
                    <w:rFonts w:ascii="Latin Modern Math" w:hAnsi="Latin Modern Math"/>
                  </w:rPr>
                  <m:t xml:space="preserve">M</m:t>
                </m:r>
              </m:e>
              <m:sup>
                <m:r>
                  <m:rPr>
                    <m:nor m:val="1"/>
                    <m:sty m:val="p"/>
                  </m:rPr>
                  <w:rPr>
                    <w:rFonts w:ascii="Latin Modern Math" w:hAnsi="Latin Modern Math"/>
                  </w:rPr>
                  <m:t xml:space="preserve">2</m:t>
                </m:r>
              </m:sup>
            </m:sSup>
          </m:num>
          <m:den>
            <m:r>
              <m:rPr>
                <m:sty m:val="i"/>
              </m:rPr>
              <w:rPr>
                <w:rFonts w:ascii="Latin Modern Math" w:hAnsi="Latin Modern Math"/>
              </w:rPr>
              <m:t xml:space="preserve">ħc</m:t>
            </m:r>
          </m:den>
        </m:f>
      </m:oMath>
      <w:r>
        <w:rPr/>
        <w:t xml:space="preserve">. The simple blackbody approximation takes area </w:t>
      </w:r>
      <m:oMath>
        <m:r>
          <m:rPr>
            <m:sty m:val="i"/>
          </m:rPr>
          <w:rPr>
            <w:rFonts w:ascii="Latin Modern Math" w:hAnsi="Latin Modern Math"/>
          </w:rPr>
          <m:t xml:space="preserve">A = 4π</m:t>
        </m:r>
        <m:sSubSup>
          <m:e>
            <m:r>
              <m:rPr>
                <m:sty m:val="i"/>
              </m:rPr>
              <w:rPr>
                <w:rFonts w:ascii="Latin Modern Math" w:hAnsi="Latin Modern Math"/>
              </w:rPr>
              <m:t xml:space="preserve">r</m:t>
            </m:r>
          </m:e>
          <m:sub>
            <m:r>
              <m:rPr>
                <m:nor m:val="1"/>
                <m:sty m:val="p"/>
              </m:rPr>
              <w:rPr>
                <w:rFonts w:ascii="Latin Modern Math" w:hAnsi="Latin Modern Math"/>
              </w:rPr>
              <m:t xml:space="preserve">s</m:t>
            </m:r>
          </m:sub>
          <m:sup>
            <m:r>
              <m:rPr>
                <m:nor m:val="1"/>
                <m:sty m:val="p"/>
              </m:rPr>
              <w:rPr>
                <w:rFonts w:ascii="Latin Modern Math" w:hAnsi="Latin Modern Math"/>
              </w:rPr>
              <m:t xml:space="preserve">2</m:t>
            </m:r>
          </m:sup>
        </m:sSubSup>
      </m:oMath>
      <w:r>
        <w:rPr/>
        <w:t xml:space="preserve"> and power </w:t>
      </w:r>
      <m:oMath>
        <m:r>
          <m:rPr>
            <m:sty m:val="i"/>
          </m:rPr>
          <w:rPr>
            <w:rFonts w:ascii="Latin Modern Math" w:hAnsi="Latin Modern Math"/>
          </w:rPr>
          <m:t xml:space="preserve">P = σA</m:t>
        </m:r>
        <m:sSubSup>
          <m:e>
            <m:r>
              <m:rPr>
                <m:sty m:val="i"/>
              </m:rPr>
              <w:rPr>
                <w:rFonts w:ascii="Latin Modern Math" w:hAnsi="Latin Modern Math"/>
              </w:rPr>
              <m:t xml:space="preserve">T</m:t>
            </m:r>
          </m:e>
          <m:sub>
            <m:r>
              <m:rPr>
                <m:nor m:val="1"/>
                <m:sty m:val="p"/>
              </m:rPr>
              <w:rPr>
                <w:rFonts w:ascii="Latin Modern Math" w:hAnsi="Latin Modern Math"/>
              </w:rPr>
              <m:t xml:space="preserve">H</m:t>
            </m:r>
          </m:sub>
          <m:sup>
            <m:r>
              <m:rPr>
                <m:nor m:val="1"/>
                <m:sty m:val="p"/>
              </m:rPr>
              <w:rPr>
                <w:rFonts w:ascii="Latin Modern Math" w:hAnsi="Latin Modern Math"/>
              </w:rPr>
              <m:t xml:space="preserve">4</m:t>
            </m:r>
          </m:sup>
        </m:sSubSup>
      </m:oMath>
      <w:r>
        <w:rPr/>
        <w:t xml:space="preserve">, with </w:t>
      </w:r>
      <m:oMath>
        <m:r>
          <m:rPr>
            <m:sty m:val="i"/>
          </m:rPr>
          <w:rPr>
            <w:rFonts w:ascii="Latin Modern Math" w:hAnsi="Latin Modern Math"/>
          </w:rPr>
          <m:t xml:space="preserve">σ = </m:t>
        </m:r>
        <m:f>
          <m:num>
            <m:sSup>
              <m:e>
                <m:r>
                  <m:rPr>
                    <m:sty m:val="i"/>
                  </m:rPr>
                  <w:rPr>
                    <w:rFonts w:ascii="Latin Modern Math" w:hAnsi="Latin Modern Math"/>
                  </w:rPr>
                  <m:t xml:space="preserve">π</m:t>
                </m:r>
              </m:e>
              <m:sup>
                <m:r>
                  <m:rPr>
                    <m:nor m:val="1"/>
                    <m:sty m:val="p"/>
                  </m:rPr>
                  <w:rPr>
                    <w:rFonts w:ascii="Latin Modern Math" w:hAnsi="Latin Modern Math"/>
                  </w:rPr>
                  <m:t xml:space="preserve">2</m:t>
                </m:r>
              </m:sup>
            </m:sSup>
            <m:sSubSup>
              <m:e>
                <m:r>
                  <m:rPr>
                    <m:sty m:val="i"/>
                  </m:rPr>
                  <w:rPr>
                    <w:rFonts w:ascii="Latin Modern Math" w:hAnsi="Latin Modern Math"/>
                  </w:rPr>
                  <m:t xml:space="preserve">k</m:t>
                </m:r>
              </m:e>
              <m:sub>
                <m:r>
                  <m:rPr>
                    <m:nor m:val="1"/>
                    <m:sty m:val="p"/>
                  </m:rPr>
                  <w:rPr>
                    <w:rFonts w:ascii="Latin Modern Math" w:hAnsi="Latin Modern Math"/>
                  </w:rPr>
                  <m:t xml:space="preserve">B</m:t>
                </m:r>
              </m:sub>
              <m:sup>
                <m:r>
                  <m:rPr>
                    <m:nor m:val="1"/>
                    <m:sty m:val="p"/>
                  </m:rPr>
                  <w:rPr>
                    <w:rFonts w:ascii="Latin Modern Math" w:hAnsi="Latin Modern Math"/>
                  </w:rPr>
                  <m:t xml:space="preserve">4</m:t>
                </m:r>
              </m:sup>
            </m:sSubSup>
          </m:num>
          <m:den>
            <m:r>
              <m:rPr>
                <m:sty m:val="i"/>
              </m:rPr>
              <w:rPr>
                <w:rFonts w:ascii="Latin Modern Math" w:hAnsi="Latin Modern Math"/>
              </w:rPr>
              <m:t xml:space="preserve">60</m:t>
            </m:r>
            <m:sSup>
              <m:e>
                <m:r>
                  <m:rPr>
                    <m:sty m:val="i"/>
                  </m:rPr>
                  <w:rPr>
                    <w:rFonts w:ascii="Latin Modern Math" w:hAnsi="Latin Modern Math"/>
                  </w:rPr>
                  <m:t xml:space="preserve">ħ</m:t>
                </m:r>
              </m:e>
              <m:sup>
                <m:r>
                  <m:rPr>
                    <m:nor m:val="1"/>
                    <m:sty m:val="p"/>
                  </m:rPr>
                  <w:rPr>
                    <w:rFonts w:ascii="Latin Modern Math" w:hAnsi="Latin Modern Math"/>
                  </w:rPr>
                  <m:t xml:space="preserve">3</m:t>
                </m:r>
              </m:sup>
            </m:sSup>
            <m:sSup>
              <m:e>
                <m:r>
                  <m:rPr>
                    <m:sty m:val="i"/>
                  </m:rPr>
                  <w:rPr>
                    <w:rFonts w:ascii="Latin Modern Math" w:hAnsi="Latin Modern Math"/>
                  </w:rPr>
                  <m:t xml:space="preserve">c</m:t>
                </m:r>
              </m:e>
              <m:sup>
                <m:r>
                  <m:rPr>
                    <m:nor m:val="1"/>
                    <m:sty m:val="p"/>
                  </m:rPr>
                  <w:rPr>
                    <w:rFonts w:ascii="Latin Modern Math" w:hAnsi="Latin Modern Math"/>
                  </w:rPr>
                  <m:t xml:space="preserve">2</m:t>
                </m:r>
              </m:sup>
            </m:sSup>
          </m:den>
        </m:f>
      </m:oMath>
      <w:r>
        <w:rPr/>
        <w:t xml:space="preserve">. It gives </w:t>
      </w:r>
      <m:oMath>
        <m:r>
          <m:rPr>
            <m:sty m:val="i"/>
          </m:rPr>
          <w:rPr>
            <w:rFonts w:ascii="Latin Modern Math" w:hAnsi="Latin Modern Math"/>
          </w:rPr>
          <m:t xml:space="preserve">P = </m:t>
        </m:r>
        <m:f>
          <m:num>
            <m:r>
              <m:rPr>
                <m:sty m:val="i"/>
              </m:rPr>
              <w:rPr>
                <w:rFonts w:ascii="Latin Modern Math" w:hAnsi="Latin Modern Math"/>
              </w:rPr>
              <m:t xml:space="preserve">ħ</m:t>
            </m:r>
            <m:sSup>
              <m:e>
                <m:r>
                  <m:rPr>
                    <m:sty m:val="i"/>
                  </m:rPr>
                  <w:rPr>
                    <w:rFonts w:ascii="Latin Modern Math" w:hAnsi="Latin Modern Math"/>
                  </w:rPr>
                  <m:t xml:space="preserve">c</m:t>
                </m:r>
              </m:e>
              <m:sup>
                <m:r>
                  <m:rPr>
                    <m:nor m:val="1"/>
                    <m:sty m:val="p"/>
                  </m:rPr>
                  <w:rPr>
                    <w:rFonts w:ascii="Latin Modern Math" w:hAnsi="Latin Modern Math"/>
                  </w:rPr>
                  <m:t xml:space="preserve">6</m:t>
                </m:r>
              </m:sup>
            </m:sSup>
          </m:num>
          <m:den>
            <m:r>
              <m:rPr>
                <m:sty m:val="i"/>
              </m:rPr>
              <w:rPr>
                <w:rFonts w:ascii="Latin Modern Math" w:hAnsi="Latin Modern Math"/>
              </w:rPr>
              <m:t xml:space="preserve">15360π</m:t>
            </m:r>
            <m:sSup>
              <m:e>
                <m:r>
                  <m:rPr>
                    <m:sty m:val="i"/>
                  </m:rPr>
                  <w:rPr>
                    <w:rFonts w:ascii="Latin Modern Math" w:hAnsi="Latin Modern Math"/>
                  </w:rPr>
                  <m:t xml:space="preserve">G</m:t>
                </m:r>
              </m:e>
              <m:sup>
                <m:r>
                  <m:rPr>
                    <m:nor m:val="1"/>
                    <m:sty m:val="p"/>
                  </m:rPr>
                  <w:rPr>
                    <w:rFonts w:ascii="Latin Modern Math" w:hAnsi="Latin Modern Math"/>
                  </w:rPr>
                  <m:t xml:space="preserve">2</m:t>
                </m:r>
              </m:sup>
            </m:sSup>
            <m:sSup>
              <m:e>
                <m:r>
                  <m:rPr>
                    <m:sty m:val="i"/>
                  </m:rPr>
                  <w:rPr>
                    <w:rFonts w:ascii="Latin Modern Math" w:hAnsi="Latin Modern Math"/>
                  </w:rPr>
                  <m:t xml:space="preserve">M</m:t>
                </m:r>
              </m:e>
              <m:sup>
                <m:r>
                  <m:rPr>
                    <m:nor m:val="1"/>
                    <m:sty m:val="p"/>
                  </m:rPr>
                  <w:rPr>
                    <w:rFonts w:ascii="Latin Modern Math" w:hAnsi="Latin Modern Math"/>
                  </w:rPr>
                  <m:t xml:space="preserve">2</m:t>
                </m:r>
              </m:sup>
            </m:sSup>
          </m:den>
        </m:f>
      </m:oMath>
      <w:r>
        <w:rPr/>
        <w:t xml:space="preserve">. Integrating </w:t>
      </w:r>
      <m:oMath>
        <m:sSup>
          <m:e>
            <m:r>
              <m:rPr>
                <m:sty m:val="i"/>
              </m:rPr>
              <w:rPr>
                <w:rFonts w:ascii="Latin Modern Math" w:hAnsi="Latin Modern Math"/>
              </w:rPr>
              <m:t xml:space="preserve">c</m:t>
            </m:r>
          </m:e>
          <m:sup>
            <m:r>
              <m:rPr>
                <m:nor m:val="1"/>
                <m:sty m:val="p"/>
              </m:rPr>
              <w:rPr>
                <w:rFonts w:ascii="Latin Modern Math" w:hAnsi="Latin Modern Math"/>
              </w:rPr>
              <m:t xml:space="preserve">2</m:t>
            </m:r>
          </m:sup>
        </m:sSup>
        <m:r>
          <m:rPr>
            <m:sty m:val="i"/>
          </m:rPr>
          <w:rPr>
            <w:rFonts w:ascii="Latin Modern Math" w:hAnsi="Latin Modern Math"/>
          </w:rPr>
          <m:t xml:space="preserve"> </m:t>
        </m:r>
        <m:f>
          <m:num>
            <m:r>
              <m:rPr>
                <m:nor m:val="1"/>
                <m:sty m:val="p"/>
              </m:rPr>
              <w:rPr>
                <w:rFonts w:ascii="Latin Modern Math" w:hAnsi="Latin Modern Math"/>
              </w:rPr>
              <m:t xml:space="preserve">d</m:t>
            </m:r>
            <m:r>
              <m:rPr>
                <m:sty m:val="i"/>
              </m:rPr>
              <w:rPr>
                <w:rFonts w:ascii="Latin Modern Math" w:hAnsi="Latin Modern Math"/>
              </w:rPr>
              <m:t xml:space="preserve">M</m:t>
            </m:r>
          </m:num>
          <m:den>
            <m:r>
              <m:rPr>
                <m:nor m:val="1"/>
                <m:sty m:val="p"/>
              </m:rPr>
              <w:rPr>
                <w:rFonts w:ascii="Latin Modern Math" w:hAnsi="Latin Modern Math"/>
              </w:rPr>
              <m:t xml:space="preserve">d</m:t>
            </m:r>
            <m:r>
              <m:rPr>
                <m:sty m:val="i"/>
              </m:rPr>
              <w:rPr>
                <w:rFonts w:ascii="Latin Modern Math" w:hAnsi="Latin Modern Math"/>
              </w:rPr>
              <m:t xml:space="preserve">t</m:t>
            </m:r>
          </m:den>
        </m:f>
        <m:r>
          <m:rPr>
            <m:sty m:val="i"/>
          </m:rPr>
          <w:rPr>
            <w:rFonts w:ascii="Latin Modern Math" w:hAnsi="Latin Modern Math"/>
          </w:rPr>
          <m:t xml:space="preserve"> = −P</m:t>
        </m:r>
      </m:oMath>
      <w:r>
        <w:rPr/>
        <w:t xml:space="preserve"> to zero mass yields </w:t>
      </w:r>
      <m:oMath>
        <m:r>
          <m:rPr>
            <m:sty m:val="i"/>
          </m:rPr>
          <w:rPr>
            <w:rFonts w:ascii="Latin Modern Math" w:hAnsi="Latin Modern Math"/>
          </w:rPr>
          <m:t xml:space="preserve">τ = </m:t>
        </m:r>
        <m:f>
          <m:num>
            <m:r>
              <m:rPr>
                <m:sty m:val="i"/>
              </m:rPr>
              <w:rPr>
                <w:rFonts w:ascii="Latin Modern Math" w:hAnsi="Latin Modern Math"/>
              </w:rPr>
              <m:t xml:space="preserve">5120π</m:t>
            </m:r>
            <m:sSup>
              <m:e>
                <m:r>
                  <m:rPr>
                    <m:sty m:val="i"/>
                  </m:rPr>
                  <w:rPr>
                    <w:rFonts w:ascii="Latin Modern Math" w:hAnsi="Latin Modern Math"/>
                  </w:rPr>
                  <m:t xml:space="preserve">G</m:t>
                </m:r>
              </m:e>
              <m:sup>
                <m:r>
                  <m:rPr>
                    <m:nor m:val="1"/>
                    <m:sty m:val="p"/>
                  </m:rPr>
                  <w:rPr>
                    <w:rFonts w:ascii="Latin Modern Math" w:hAnsi="Latin Modern Math"/>
                  </w:rPr>
                  <m:t xml:space="preserve">2</m:t>
                </m:r>
              </m:sup>
            </m:sSup>
            <m:sSup>
              <m:e>
                <m:r>
                  <m:rPr>
                    <m:sty m:val="i"/>
                  </m:rPr>
                  <w:rPr>
                    <w:rFonts w:ascii="Latin Modern Math" w:hAnsi="Latin Modern Math"/>
                  </w:rPr>
                  <m:t xml:space="preserve">M</m:t>
                </m:r>
              </m:e>
              <m:sup>
                <m:r>
                  <m:rPr>
                    <m:nor m:val="1"/>
                    <m:sty m:val="p"/>
                  </m:rPr>
                  <w:rPr>
                    <w:rFonts w:ascii="Latin Modern Math" w:hAnsi="Latin Modern Math"/>
                  </w:rPr>
                  <m:t xml:space="preserve">3</m:t>
                </m:r>
              </m:sup>
            </m:sSup>
          </m:num>
          <m:den>
            <m:r>
              <m:rPr>
                <m:sty m:val="i"/>
              </m:rPr>
              <w:rPr>
                <w:rFonts w:ascii="Latin Modern Math" w:hAnsi="Latin Modern Math"/>
              </w:rPr>
              <m:t xml:space="preserve">ħ</m:t>
            </m:r>
            <m:sSup>
              <m:e>
                <m:r>
                  <m:rPr>
                    <m:sty m:val="i"/>
                  </m:rPr>
                  <w:rPr>
                    <w:rFonts w:ascii="Latin Modern Math" w:hAnsi="Latin Modern Math"/>
                  </w:rPr>
                  <m:t xml:space="preserve">c</m:t>
                </m:r>
              </m:e>
              <m:sup>
                <m:r>
                  <m:rPr>
                    <m:nor m:val="1"/>
                    <m:sty m:val="p"/>
                  </m:rPr>
                  <w:rPr>
                    <w:rFonts w:ascii="Latin Modern Math" w:hAnsi="Latin Modern Math"/>
                  </w:rPr>
                  <m:t xml:space="preserve">4</m:t>
                </m:r>
              </m:sup>
            </m:sSup>
          </m:den>
        </m:f>
      </m:oMath>
      <w:r>
        <w:rPr/>
        <w:t>.</w:t>
      </w:r>
    </w:p>
    <w:p>
      <w:pPr/>
      <w:r>
        <w:rPr/>
        <w:t>This is an explicitly idealized pedagogical estimate. It omits greybody transmission, the temperature-dependent spectrum of available particle species, angular momentum, charge, accretion and surrounding radiation. Extrapolation of the semiclassical approximation to the last stage is not a measurement or a complete quantum-gravity treatment.</w:t>
      </w:r>
    </w:p>
    <w:p>
      <w:pPr/>
      <w:r>
        <w:rPr/>
        <w:t xml:space="preserve">Dimensional checks: </w:t>
      </w:r>
      <m:oMath>
        <m:f>
          <m:num>
            <m:r>
              <m:rPr>
                <m:sty m:val="i"/>
              </m:rPr>
              <w:rPr>
                <w:rFonts w:ascii="Latin Modern Math" w:hAnsi="Latin Modern Math"/>
              </w:rPr>
              <m:t xml:space="preserve">ħ</m:t>
            </m:r>
            <m:sSup>
              <m:e>
                <m:r>
                  <m:rPr>
                    <m:sty m:val="i"/>
                  </m:rPr>
                  <w:rPr>
                    <w:rFonts w:ascii="Latin Modern Math" w:hAnsi="Latin Modern Math"/>
                  </w:rPr>
                  <m:t xml:space="preserve">c</m:t>
                </m:r>
              </m:e>
              <m:sup>
                <m:r>
                  <m:rPr>
                    <m:nor m:val="1"/>
                    <m:sty m:val="p"/>
                  </m:rPr>
                  <w:rPr>
                    <w:rFonts w:ascii="Latin Modern Math" w:hAnsi="Latin Modern Math"/>
                  </w:rPr>
                  <m:t xml:space="preserve">3</m:t>
                </m:r>
              </m:sup>
            </m:sSup>
          </m:num>
          <m:den>
            <m:r>
              <m:rPr>
                <m:sty m:val="i"/>
              </m:rPr>
              <w:rPr>
                <w:rFonts w:ascii="Latin Modern Math" w:hAnsi="Latin Modern Math"/>
              </w:rPr>
              <m:t xml:space="preserve">GM</m:t>
            </m:r>
            <m:sSub>
              <m:e>
                <m:r>
                  <m:rPr>
                    <m:sty m:val="i"/>
                  </m:rPr>
                  <w:rPr>
                    <w:rFonts w:ascii="Latin Modern Math" w:hAnsi="Latin Modern Math"/>
                  </w:rPr>
                  <m:t xml:space="preserve">k</m:t>
                </m:r>
              </m:e>
              <m:sub>
                <m:r>
                  <m:rPr>
                    <m:nor m:val="1"/>
                    <m:sty m:val="p"/>
                  </m:rPr>
                  <w:rPr>
                    <w:rFonts w:ascii="Latin Modern Math" w:hAnsi="Latin Modern Math"/>
                  </w:rPr>
                  <m:t xml:space="preserve">B</m:t>
                </m:r>
              </m:sub>
            </m:sSub>
          </m:den>
        </m:f>
      </m:oMath>
      <w:r>
        <w:rPr/>
        <w:t xml:space="preserve"> has units K; </w:t>
      </w:r>
      <m:oMath>
        <m:f>
          <m:num>
            <m:sSup>
              <m:e>
                <m:r>
                  <m:rPr>
                    <m:sty m:val="i"/>
                  </m:rPr>
                  <w:rPr>
                    <w:rFonts w:ascii="Latin Modern Math" w:hAnsi="Latin Modern Math"/>
                  </w:rPr>
                  <m:t xml:space="preserve">G</m:t>
                </m:r>
              </m:e>
              <m:sup>
                <m:r>
                  <m:rPr>
                    <m:nor m:val="1"/>
                    <m:sty m:val="p"/>
                  </m:rPr>
                  <w:rPr>
                    <w:rFonts w:ascii="Latin Modern Math" w:hAnsi="Latin Modern Math"/>
                  </w:rPr>
                  <m:t xml:space="preserve">2</m:t>
                </m:r>
              </m:sup>
            </m:sSup>
            <m:sSup>
              <m:e>
                <m:r>
                  <m:rPr>
                    <m:sty m:val="i"/>
                  </m:rPr>
                  <w:rPr>
                    <w:rFonts w:ascii="Latin Modern Math" w:hAnsi="Latin Modern Math"/>
                  </w:rPr>
                  <m:t xml:space="preserve">M</m:t>
                </m:r>
              </m:e>
              <m:sup>
                <m:r>
                  <m:rPr>
                    <m:nor m:val="1"/>
                    <m:sty m:val="p"/>
                  </m:rPr>
                  <w:rPr>
                    <w:rFonts w:ascii="Latin Modern Math" w:hAnsi="Latin Modern Math"/>
                  </w:rPr>
                  <m:t xml:space="preserve">3</m:t>
                </m:r>
              </m:sup>
            </m:sSup>
          </m:num>
          <m:den>
            <m:r>
              <m:rPr>
                <m:sty m:val="i"/>
              </m:rPr>
              <w:rPr>
                <w:rFonts w:ascii="Latin Modern Math" w:hAnsi="Latin Modern Math"/>
              </w:rPr>
              <m:t xml:space="preserve">ħ</m:t>
            </m:r>
            <m:sSup>
              <m:e>
                <m:r>
                  <m:rPr>
                    <m:sty m:val="i"/>
                  </m:rPr>
                  <w:rPr>
                    <w:rFonts w:ascii="Latin Modern Math" w:hAnsi="Latin Modern Math"/>
                  </w:rPr>
                  <m:t xml:space="preserve">c</m:t>
                </m:r>
              </m:e>
              <m:sup>
                <m:r>
                  <m:rPr>
                    <m:nor m:val="1"/>
                    <m:sty m:val="p"/>
                  </m:rPr>
                  <w:rPr>
                    <w:rFonts w:ascii="Latin Modern Math" w:hAnsi="Latin Modern Math"/>
                  </w:rPr>
                  <m:t xml:space="preserve">4</m:t>
                </m:r>
              </m:sup>
            </m:sSup>
          </m:den>
        </m:f>
      </m:oMath>
      <w:r>
        <w:rPr/>
        <w:t xml:space="preserve"> has units s; </w:t>
      </w:r>
      <m:oMath>
        <m:f>
          <m:num>
            <m:r>
              <m:rPr>
                <m:sty m:val="i"/>
              </m:rPr>
              <w:rPr>
                <w:rFonts w:ascii="Latin Modern Math" w:hAnsi="Latin Modern Math"/>
              </w:rPr>
              <m:t xml:space="preserve">G</m:t>
            </m:r>
            <m:sSup>
              <m:e>
                <m:r>
                  <m:rPr>
                    <m:sty m:val="i"/>
                  </m:rPr>
                  <w:rPr>
                    <w:rFonts w:ascii="Latin Modern Math" w:hAnsi="Latin Modern Math"/>
                  </w:rPr>
                  <m:t xml:space="preserve">M</m:t>
                </m:r>
              </m:e>
              <m:sup>
                <m:r>
                  <m:rPr>
                    <m:nor m:val="1"/>
                    <m:sty m:val="p"/>
                  </m:rPr>
                  <w:rPr>
                    <w:rFonts w:ascii="Latin Modern Math" w:hAnsi="Latin Modern Math"/>
                  </w:rPr>
                  <m:t xml:space="preserve">2</m:t>
                </m:r>
              </m:sup>
            </m:sSup>
          </m:num>
          <m:den>
            <m:r>
              <m:rPr>
                <m:sty m:val="i"/>
              </m:rPr>
              <w:rPr>
                <w:rFonts w:ascii="Latin Modern Math" w:hAnsi="Latin Modern Math"/>
              </w:rPr>
              <m:t xml:space="preserve">ħc</m:t>
            </m:r>
          </m:den>
        </m:f>
      </m:oMath>
      <w:r>
        <w:rPr/>
        <w:t xml:space="preserve"> is dimensionless. With the recorded approximate solar mass, the solar temperature is about </w:t>
      </w:r>
      <m:oMath>
        <m:r>
          <m:rPr>
            <m:nor m:val="1"/>
            <m:sty m:val="p"/>
          </m:rPr>
          <w:rPr>
            <w:rFonts w:ascii="Latin Modern Math" w:hAnsi="Latin Modern Math"/>
          </w:rPr>
          <m:t xml:space="preserve">6.17 × </m:t>
        </m:r>
        <m:sSup>
          <m:e>
            <m:r>
              <m:rPr>
                <m:nor m:val="1"/>
                <m:sty m:val="p"/>
              </m:rPr>
              <w:rPr>
                <w:rFonts w:ascii="Latin Modern Math" w:hAnsi="Latin Modern Math"/>
              </w:rPr>
              <m:t xml:space="preserve">10</m:t>
            </m:r>
          </m:e>
          <m:sup>
            <m:r>
              <m:rPr>
                <m:nor m:val="1"/>
                <m:sty m:val="p"/>
              </m:rPr>
              <w:rPr>
                <w:rFonts w:ascii="Latin Modern Math" w:hAnsi="Latin Modern Math"/>
              </w:rPr>
              <m:t xml:space="preserve">−8</m:t>
            </m:r>
          </m:sup>
        </m:sSup>
        <m:r>
          <m:rPr>
            <m:nor m:val="1"/>
            <m:sty m:val="p"/>
          </m:rPr>
          <w:rPr>
            <w:rFonts w:ascii="Latin Modern Math" w:hAnsi="Latin Modern Math"/>
          </w:rPr>
          <m:t xml:space="preserve"> K</m:t>
        </m:r>
      </m:oMath>
      <w:r>
        <w:rPr/>
        <w:t xml:space="preserve">, τ about </w:t>
      </w:r>
      <m:oMath>
        <m:r>
          <m:rPr>
            <m:nor m:val="1"/>
            <m:sty m:val="p"/>
          </m:rPr>
          <w:rPr>
            <w:rFonts w:ascii="Latin Modern Math" w:hAnsi="Latin Modern Math"/>
          </w:rPr>
          <m:t xml:space="preserve">2.10 × </m:t>
        </m:r>
        <m:sSup>
          <m:e>
            <m:r>
              <m:rPr>
                <m:nor m:val="1"/>
                <m:sty m:val="p"/>
              </m:rPr>
              <w:rPr>
                <w:rFonts w:ascii="Latin Modern Math" w:hAnsi="Latin Modern Math"/>
              </w:rPr>
              <m:t xml:space="preserve">10</m:t>
            </m:r>
          </m:e>
          <m:sup>
            <m:r>
              <m:rPr>
                <m:nor m:val="1"/>
                <m:sty m:val="p"/>
              </m:rPr>
              <w:rPr>
                <w:rFonts w:ascii="Latin Modern Math" w:hAnsi="Latin Modern Math"/>
              </w:rPr>
              <m:t xml:space="preserve">67</m:t>
            </m:r>
          </m:sup>
        </m:sSup>
      </m:oMath>
      <w:r>
        <w:rPr/>
        <w:t xml:space="preserve"> years, and </w:t>
      </w:r>
      <m:oMath>
        <m:f>
          <m:num>
            <m:sSub>
              <m:e>
                <m:r>
                  <m:rPr>
                    <m:sty m:val="i"/>
                  </m:rPr>
                  <w:rPr>
                    <w:rFonts w:ascii="Latin Modern Math" w:hAnsi="Latin Modern Math"/>
                  </w:rPr>
                  <m:t xml:space="preserve">S</m:t>
                </m:r>
              </m:e>
              <m:sub>
                <m:r>
                  <m:rPr>
                    <m:nor m:val="1"/>
                    <m:sty m:val="p"/>
                  </m:rPr>
                  <w:rPr>
                    <w:rFonts w:ascii="Latin Modern Math" w:hAnsi="Latin Modern Math"/>
                  </w:rPr>
                  <m:t xml:space="preserve">BH</m:t>
                </m:r>
              </m:sub>
            </m:sSub>
          </m:num>
          <m:den>
            <m:sSub>
              <m:e>
                <m:r>
                  <m:rPr>
                    <m:sty m:val="i"/>
                  </m:rPr>
                  <w:rPr>
                    <w:rFonts w:ascii="Latin Modern Math" w:hAnsi="Latin Modern Math"/>
                  </w:rPr>
                  <m:t xml:space="preserve">k</m:t>
                </m:r>
              </m:e>
              <m:sub>
                <m:r>
                  <m:rPr>
                    <m:nor m:val="1"/>
                    <m:sty m:val="p"/>
                  </m:rPr>
                  <w:rPr>
                    <w:rFonts w:ascii="Latin Modern Math" w:hAnsi="Latin Modern Math"/>
                  </w:rPr>
                  <m:t xml:space="preserve">B</m:t>
                </m:r>
              </m:sub>
            </m:sSub>
          </m:den>
        </m:f>
      </m:oMath>
      <w:r>
        <w:rPr/>
        <w:t xml:space="preserve"> about </w:t>
      </w:r>
      <m:oMath>
        <m:r>
          <m:rPr>
            <m:nor m:val="1"/>
            <m:sty m:val="p"/>
          </m:rPr>
          <w:rPr>
            <w:rFonts w:ascii="Latin Modern Math" w:hAnsi="Latin Modern Math"/>
          </w:rPr>
          <m:t xml:space="preserve">1.05 × </m:t>
        </m:r>
        <m:sSup>
          <m:e>
            <m:r>
              <m:rPr>
                <m:nor m:val="1"/>
                <m:sty m:val="p"/>
              </m:rPr>
              <w:rPr>
                <w:rFonts w:ascii="Latin Modern Math" w:hAnsi="Latin Modern Math"/>
              </w:rPr>
              <m:t xml:space="preserve">10</m:t>
            </m:r>
          </m:e>
          <m:sup>
            <m:r>
              <m:rPr>
                <m:nor m:val="1"/>
                <m:sty m:val="p"/>
              </m:rPr>
              <w:rPr>
                <w:rFonts w:ascii="Latin Modern Math" w:hAnsi="Latin Modern Math"/>
              </w:rPr>
              <m:t xml:space="preserve">77</m:t>
            </m:r>
          </m:sup>
        </m:sSup>
      </m:oMath>
      <w:r>
        <w:rPr/>
        <w:t xml:space="preserve">. At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m:t>
            </m:r>
          </m:sup>
        </m:sSup>
      </m:oMath>
      <w:r>
        <w:rPr/>
        <w:t xml:space="preserve"> solar masses, temperature is lower by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m:t>
            </m:r>
          </m:sup>
        </m:sSup>
      </m:oMath>
      <w:r>
        <w:rPr/>
        <w:t xml:space="preserve">, lifetime longer by </w:t>
      </w:r>
      <m:oMath>
        <m:sSup>
          <m:e>
            <m:r>
              <m:rPr>
                <m:nor m:val="1"/>
                <m:sty m:val="p"/>
              </m:rPr>
              <w:rPr>
                <w:rFonts w:ascii="Latin Modern Math" w:hAnsi="Latin Modern Math"/>
              </w:rPr>
              <m:t xml:space="preserve">10</m:t>
            </m:r>
          </m:e>
          <m:sup>
            <m:r>
              <m:rPr>
                <m:nor m:val="1"/>
                <m:sty m:val="p"/>
              </m:rPr>
              <w:rPr>
                <w:rFonts w:ascii="Latin Modern Math" w:hAnsi="Latin Modern Math"/>
              </w:rPr>
              <m:t xml:space="preserve">27</m:t>
            </m:r>
          </m:sup>
        </m:sSup>
      </m:oMath>
      <w:r>
        <w:rPr/>
        <w:t xml:space="preserve">, and entropy larger by </w:t>
      </w:r>
      <m:oMath>
        <m:sSup>
          <m:e>
            <m:r>
              <m:rPr>
                <m:nor m:val="1"/>
                <m:sty m:val="p"/>
              </m:rPr>
              <w:rPr>
                <w:rFonts w:ascii="Latin Modern Math" w:hAnsi="Latin Modern Math"/>
              </w:rPr>
              <m:t xml:space="preserve">10</m:t>
            </m:r>
          </m:e>
          <m:sup>
            <m:r>
              <m:rPr>
                <m:nor m:val="1"/>
                <m:sty m:val="p"/>
              </m:rPr>
              <w:rPr>
                <w:rFonts w:ascii="Latin Modern Math" w:hAnsi="Latin Modern Math"/>
              </w:rPr>
              <m:t xml:space="preserve">18</m:t>
            </m:r>
          </m:sup>
        </m:sSup>
      </m:oMath>
      <w:r>
        <w:rPr/>
        <w:t xml:space="preserve">: τ about </w:t>
      </w:r>
      <m:oMath>
        <m:r>
          <m:rPr>
            <m:nor m:val="1"/>
            <m:sty m:val="p"/>
          </m:rPr>
          <w:rPr>
            <w:rFonts w:ascii="Latin Modern Math" w:hAnsi="Latin Modern Math"/>
          </w:rPr>
          <m:t xml:space="preserve">2.10 × </m:t>
        </m:r>
        <m:sSup>
          <m:e>
            <m:r>
              <m:rPr>
                <m:nor m:val="1"/>
                <m:sty m:val="p"/>
              </m:rPr>
              <w:rPr>
                <w:rFonts w:ascii="Latin Modern Math" w:hAnsi="Latin Modern Math"/>
              </w:rPr>
              <m:t xml:space="preserve">10</m:t>
            </m:r>
          </m:e>
          <m:sup>
            <m:r>
              <m:rPr>
                <m:nor m:val="1"/>
                <m:sty m:val="p"/>
              </m:rPr>
              <w:rPr>
                <w:rFonts w:ascii="Latin Modern Math" w:hAnsi="Latin Modern Math"/>
              </w:rPr>
              <m:t xml:space="preserve">94</m:t>
            </m:r>
          </m:sup>
        </m:sSup>
      </m:oMath>
      <w:r>
        <w:rPr/>
        <w:t xml:space="preserve"> years and </w:t>
      </w:r>
      <m:oMath>
        <m:f>
          <m:num>
            <m:sSub>
              <m:e>
                <m:r>
                  <m:rPr>
                    <m:sty m:val="i"/>
                  </m:rPr>
                  <w:rPr>
                    <w:rFonts w:ascii="Latin Modern Math" w:hAnsi="Latin Modern Math"/>
                  </w:rPr>
                  <m:t xml:space="preserve">S</m:t>
                </m:r>
              </m:e>
              <m:sub>
                <m:r>
                  <m:rPr>
                    <m:nor m:val="1"/>
                    <m:sty m:val="p"/>
                  </m:rPr>
                  <w:rPr>
                    <w:rFonts w:ascii="Latin Modern Math" w:hAnsi="Latin Modern Math"/>
                  </w:rPr>
                  <m:t xml:space="preserve">BH</m:t>
                </m:r>
              </m:sub>
            </m:sSub>
          </m:num>
          <m:den>
            <m:sSub>
              <m:e>
                <m:r>
                  <m:rPr>
                    <m:sty m:val="i"/>
                  </m:rPr>
                  <w:rPr>
                    <w:rFonts w:ascii="Latin Modern Math" w:hAnsi="Latin Modern Math"/>
                  </w:rPr>
                  <m:t xml:space="preserve">k</m:t>
                </m:r>
              </m:e>
              <m:sub>
                <m:r>
                  <m:rPr>
                    <m:nor m:val="1"/>
                    <m:sty m:val="p"/>
                  </m:rPr>
                  <w:rPr>
                    <w:rFonts w:ascii="Latin Modern Math" w:hAnsi="Latin Modern Math"/>
                  </w:rPr>
                  <m:t xml:space="preserve">B</m:t>
                </m:r>
              </m:sub>
            </m:sSub>
          </m:den>
        </m:f>
      </m:oMath>
      <w:r>
        <w:rPr/>
        <w:t xml:space="preserve"> about </w:t>
      </w:r>
      <m:oMath>
        <m:r>
          <m:rPr>
            <m:nor m:val="1"/>
            <m:sty m:val="p"/>
          </m:rPr>
          <w:rPr>
            <w:rFonts w:ascii="Latin Modern Math" w:hAnsi="Latin Modern Math"/>
          </w:rPr>
          <m:t xml:space="preserve">1.05 × </m:t>
        </m:r>
        <m:sSup>
          <m:e>
            <m:r>
              <m:rPr>
                <m:nor m:val="1"/>
                <m:sty m:val="p"/>
              </m:rPr>
              <w:rPr>
                <w:rFonts w:ascii="Latin Modern Math" w:hAnsi="Latin Modern Math"/>
              </w:rPr>
              <m:t xml:space="preserve">10</m:t>
            </m:r>
          </m:e>
          <m:sup>
            <m:r>
              <m:rPr>
                <m:nor m:val="1"/>
                <m:sty m:val="p"/>
              </m:rPr>
              <w:rPr>
                <w:rFonts w:ascii="Latin Modern Math" w:hAnsi="Latin Modern Math"/>
              </w:rPr>
              <m:t xml:space="preserve">95</m:t>
            </m:r>
          </m:sup>
        </m:sSup>
      </m:oMath>
      <w:r>
        <w:rPr/>
        <w:t xml:space="preserve">. The original </w:t>
      </w:r>
      <m:oMath>
        <m:sSup>
          <m:e>
            <m:r>
              <m:rPr>
                <m:nor m:val="1"/>
                <m:sty m:val="p"/>
              </m:rPr>
              <w:rPr>
                <w:rFonts w:ascii="Latin Modern Math" w:hAnsi="Latin Modern Math"/>
              </w:rPr>
              <m:t xml:space="preserve">10</m:t>
            </m:r>
          </m:e>
          <m:sup>
            <m:r>
              <m:rPr>
                <m:nor m:val="1"/>
                <m:sty m:val="p"/>
              </m:rPr>
              <w:rPr>
                <w:rFonts w:ascii="Latin Modern Math" w:hAnsi="Latin Modern Math"/>
              </w:rPr>
              <m:t xml:space="preserve">97</m:t>
            </m:r>
          </m:sup>
        </m:sSup>
      </m:oMath>
      <w:r>
        <w:rPr/>
        <w:t xml:space="preserve">-year claim is incompatible with the original </w:t>
      </w:r>
      <m:oMath>
        <m:sSup>
          <m:e>
            <m:r>
              <m:rPr>
                <m:nor m:val="1"/>
                <m:sty m:val="p"/>
              </m:rPr>
              <w:rPr>
                <w:rFonts w:ascii="Latin Modern Math" w:hAnsi="Latin Modern Math"/>
              </w:rPr>
              <m:t xml:space="preserve">10</m:t>
            </m:r>
          </m:e>
          <m:sup>
            <m:r>
              <m:rPr>
                <m:nor m:val="1"/>
                <m:sty m:val="p"/>
              </m:rPr>
              <w:rPr>
                <w:rFonts w:ascii="Latin Modern Math" w:hAnsi="Latin Modern Math"/>
              </w:rPr>
              <m:t xml:space="preserve">67</m:t>
            </m:r>
          </m:sup>
        </m:sSup>
      </m:oMath>
      <w:r>
        <w:rPr/>
        <w:t xml:space="preserve">-year normalization and </w:t>
      </w:r>
      <m:oMath>
        <m:sSup>
          <m:e>
            <m:r>
              <m:rPr>
                <m:sty m:val="i"/>
              </m:rPr>
              <w:rPr>
                <w:rFonts w:ascii="Latin Modern Math" w:hAnsi="Latin Modern Math"/>
              </w:rPr>
              <m:t xml:space="preserve">M</m:t>
            </m:r>
          </m:e>
          <m:sup>
            <m:r>
              <m:rPr>
                <m:nor m:val="1"/>
                <m:sty m:val="p"/>
              </m:rPr>
              <w:rPr>
                <w:rFonts w:ascii="Latin Modern Math" w:hAnsi="Latin Modern Math"/>
              </w:rPr>
              <m:t xml:space="preserve">3</m:t>
            </m:r>
          </m:sup>
        </m:sSup>
      </m:oMath>
      <w:r>
        <w:rPr/>
        <w:t xml:space="preserve"> scaling.</w:t>
      </w:r>
    </w:p>
    <w:p>
      <w:pPr/>
      <w:r>
        <w:rPr/>
        <w:t xml:space="preserve">For comparison with the Cortês–Liddle relation, differentiate rather than divide totals: </w:t>
      </w:r>
      <m:oMath>
        <m:f>
          <m:num>
            <m:r>
              <m:rPr>
                <m:nor m:val="1"/>
                <m:sty m:val="p"/>
              </m:rPr>
              <w:rPr>
                <w:rFonts w:ascii="Latin Modern Math" w:hAnsi="Latin Modern Math"/>
              </w:rPr>
              <m:t xml:space="preserve">d</m:t>
            </m:r>
            <m:sSub>
              <m:e>
                <m:r>
                  <m:rPr>
                    <m:sty m:val="i"/>
                  </m:rPr>
                  <w:rPr>
                    <w:rFonts w:ascii="Latin Modern Math" w:hAnsi="Latin Modern Math"/>
                  </w:rPr>
                  <m:t xml:space="preserve">S</m:t>
                </m:r>
              </m:e>
              <m:sub>
                <m:r>
                  <m:rPr>
                    <m:nor m:val="1"/>
                    <m:sty m:val="p"/>
                  </m:rPr>
                  <w:rPr>
                    <w:rFonts w:ascii="Latin Modern Math" w:hAnsi="Latin Modern Math"/>
                  </w:rPr>
                  <m:t xml:space="preserve">BH</m:t>
                </m:r>
              </m:sub>
            </m:sSub>
          </m:num>
          <m:den>
            <m:r>
              <m:rPr>
                <m:nor m:val="1"/>
                <m:sty m:val="p"/>
              </m:rPr>
              <w:rPr>
                <w:rFonts w:ascii="Latin Modern Math" w:hAnsi="Latin Modern Math"/>
              </w:rPr>
              <m:t xml:space="preserve">d</m:t>
            </m:r>
            <m:r>
              <m:rPr>
                <m:sty m:val="i"/>
              </m:rPr>
              <w:rPr>
                <w:rFonts w:ascii="Latin Modern Math" w:hAnsi="Latin Modern Math"/>
              </w:rPr>
              <m:t xml:space="preserve">M</m:t>
            </m:r>
          </m:den>
        </m:f>
        <m:r>
          <m:rPr>
            <m:sty m:val="i"/>
          </m:rPr>
          <w:rPr>
            <w:rFonts w:ascii="Latin Modern Math" w:hAnsi="Latin Modern Math"/>
          </w:rPr>
          <m:t xml:space="preserve"> = </m:t>
        </m:r>
        <m:f>
          <m:num>
            <m:r>
              <m:rPr>
                <m:sty m:val="i"/>
              </m:rPr>
              <w:rPr>
                <w:rFonts w:ascii="Latin Modern Math" w:hAnsi="Latin Modern Math"/>
              </w:rPr>
              <m:t xml:space="preserve">8π</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GM</m:t>
            </m:r>
          </m:num>
          <m:den>
            <m:r>
              <m:rPr>
                <m:sty m:val="i"/>
              </m:rPr>
              <w:rPr>
                <w:rFonts w:ascii="Latin Modern Math" w:hAnsi="Latin Modern Math"/>
              </w:rPr>
              <m:t xml:space="preserve">ħc</m:t>
            </m:r>
          </m:den>
        </m:f>
      </m:oMath>
      <w:r>
        <w:rPr/>
        <w:t xml:space="preserve">, so </w:t>
      </w:r>
      <m:oMath>
        <m:sSub>
          <m:e>
            <m:r>
              <m:rPr>
                <m:sty m:val="i"/>
              </m:rPr>
              <w:rPr>
                <w:rFonts w:ascii="Latin Modern Math" w:hAnsi="Latin Modern Math"/>
              </w:rPr>
              <m:t xml:space="preserve">T</m:t>
            </m:r>
          </m:e>
          <m:sub>
            <m:r>
              <m:rPr>
                <m:nor m:val="1"/>
                <m:sty m:val="p"/>
              </m:rPr>
              <w:rPr>
                <w:rFonts w:ascii="Latin Modern Math" w:hAnsi="Latin Modern Math"/>
              </w:rPr>
              <m:t xml:space="preserve">H</m:t>
            </m:r>
          </m:sub>
        </m:sSub>
        <m:r>
          <m:rPr>
            <m:nor m:val="1"/>
            <m:sty m:val="p"/>
          </m:rPr>
          <w:rPr>
            <w:rFonts w:ascii="Latin Modern Math" w:hAnsi="Latin Modern Math"/>
          </w:rPr>
          <m:t xml:space="preserve"> d</m:t>
        </m:r>
        <m:sSub>
          <m:e>
            <m:r>
              <m:rPr>
                <m:sty m:val="i"/>
              </m:rPr>
              <w:rPr>
                <w:rFonts w:ascii="Latin Modern Math" w:hAnsi="Latin Modern Math"/>
              </w:rPr>
              <m:t xml:space="preserve">S</m:t>
            </m:r>
          </m:e>
          <m:sub>
            <m:r>
              <m:rPr>
                <m:nor m:val="1"/>
                <m:sty m:val="p"/>
              </m:rPr>
              <w:rPr>
                <w:rFonts w:ascii="Latin Modern Math" w:hAnsi="Latin Modern Math"/>
              </w:rPr>
              <m:t xml:space="preserve">BH</m:t>
            </m:r>
          </m:sub>
        </m:sSub>
        <m:r>
          <m:rPr>
            <m:sty m:val="i"/>
          </m:rPr>
          <w:rPr>
            <w:rFonts w:ascii="Latin Modern Math" w:hAnsi="Latin Modern Math"/>
          </w:rPr>
          <m:t xml:space="preserve"> = </m:t>
        </m:r>
        <m:sSup>
          <m:e>
            <m:r>
              <m:rPr>
                <m:sty m:val="i"/>
              </m:rPr>
              <w:rPr>
                <w:rFonts w:ascii="Latin Modern Math" w:hAnsi="Latin Modern Math"/>
              </w:rPr>
              <m:t xml:space="preserve">c</m:t>
            </m:r>
          </m:e>
          <m:sup>
            <m:r>
              <m:rPr>
                <m:nor m:val="1"/>
                <m:sty m:val="p"/>
              </m:rPr>
              <w:rPr>
                <w:rFonts w:ascii="Latin Modern Math" w:hAnsi="Latin Modern Math"/>
              </w:rPr>
              <m:t xml:space="preserve">2</m:t>
            </m:r>
          </m:sup>
        </m:sSup>
        <m:r>
          <m:rPr>
            <m:nor m:val="1"/>
            <m:sty m:val="p"/>
          </m:rPr>
          <w:rPr>
            <w:rFonts w:ascii="Latin Modern Math" w:hAnsi="Latin Modern Math"/>
          </w:rPr>
          <m:t xml:space="preserve"> d</m:t>
        </m:r>
        <m:r>
          <m:rPr>
            <m:sty m:val="i"/>
          </m:rPr>
          <w:rPr>
            <w:rFonts w:ascii="Latin Modern Math" w:hAnsi="Latin Modern Math"/>
          </w:rPr>
          <m:t xml:space="preserve">M = </m:t>
        </m:r>
        <m:r>
          <m:rPr>
            <m:nor m:val="1"/>
            <m:sty m:val="p"/>
          </m:rPr>
          <w:rPr>
            <w:rFonts w:ascii="Latin Modern Math" w:hAnsi="Latin Modern Math"/>
          </w:rPr>
          <m:t xml:space="preserve">d</m:t>
        </m:r>
        <m:r>
          <m:rPr>
            <m:sty m:val="i"/>
          </m:rPr>
          <w:rPr>
            <w:rFonts w:ascii="Latin Modern Math" w:hAnsi="Latin Modern Math"/>
          </w:rPr>
          <m:t xml:space="preserve">E</m:t>
        </m:r>
      </m:oMath>
      <w:r>
        <w:rPr/>
        <w:t xml:space="preserve">. A decrease of black-hole entropy with magnitude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xml:space="preserve"> corresponds, differentially, to emitted energy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m:t>
        </m:r>
        <m:sSub>
          <m:e>
            <m:r>
              <m:rPr>
                <m:sty m:val="i"/>
              </m:rPr>
              <w:rPr>
                <w:rFonts w:ascii="Latin Modern Math" w:hAnsi="Latin Modern Math"/>
              </w:rPr>
              <m:t xml:space="preserve">T</m:t>
            </m:r>
          </m:e>
          <m:sub>
            <m:r>
              <m:rPr>
                <m:nor m:val="1"/>
                <m:sty m:val="p"/>
              </m:rPr>
              <w:rPr>
                <w:rFonts w:ascii="Latin Modern Math" w:hAnsi="Latin Modern Math"/>
              </w:rPr>
              <m:t xml:space="preserve">H</m:t>
            </m:r>
          </m:sub>
        </m:sSub>
        <m:r>
          <m:rPr>
            <m:nor m:val="1"/>
            <m:sty m:val="p"/>
          </m:rPr>
          <w:rPr>
            <w:rFonts w:ascii="Latin Modern Math" w:hAnsi="Latin Modern Math"/>
          </w:rPr>
          <m:t xml:space="preserve"> ln 2</m:t>
        </m:r>
      </m:oMath>
      <w:r>
        <w:rPr/>
        <w:t xml:space="preserve">. This is not the claim that each emitted particle is one bit, that radiation entropy equals the hole's entropy decrease, or that the complete evaporation process is thermodynamically reversible. </w:t>
      </w:r>
      <m:oMath>
        <m:sSub>
          <m:e>
            <m:r>
              <m:rPr>
                <m:sty m:val="i"/>
              </m:rPr>
              <w:rPr>
                <w:rFonts w:ascii="Latin Modern Math" w:hAnsi="Latin Modern Math"/>
              </w:rPr>
              <m:t xml:space="preserve">T</m:t>
            </m:r>
          </m:e>
          <m:sub>
            <m:r>
              <m:rPr>
                <m:nor m:val="1"/>
                <m:sty m:val="p"/>
              </m:rPr>
              <w:rPr>
                <w:rFonts w:ascii="Latin Modern Math" w:hAnsi="Latin Modern Math"/>
              </w:rPr>
              <m:t xml:space="preserve">H</m:t>
            </m:r>
          </m:sub>
        </m:sSub>
      </m:oMath>
      <w:r>
        <w:rPr/>
        <w:t xml:space="preserve"> varies during evaporation. For Kerr, the first law includes rotational work and this Schwarzschild reduction cannot simply be copied unchanged. [I01, I19, I32]</w:t>
      </w:r>
    </w:p>
    <w:p>
      <w:pPr>
        <w:pStyle w:val="Heading3"/>
      </w:pPr>
      <w:bookmarkStart w:id="416" w:name="v5_l880"/>
      <w:r>
        <w:rPr>
          <w:sz w:val="26"/>
        </w:rPr>
        <w:t>I-CALC-02 Bekenstein and Kerr units and limits</w:t>
      </w:r>
      <w:bookmarkEnd w:id="416"/>
    </w:p>
    <w:p>
      <w:pPr/>
      <w:r>
        <w:rPr/>
        <w:t xml:space="preserve">For </w:t>
      </w:r>
      <m:oMath>
        <m:r>
          <m:rPr>
            <m:sty m:val="i"/>
          </m:rPr>
          <w:rPr>
            <w:rFonts w:ascii="Latin Modern Math" w:hAnsi="Latin Modern Math"/>
          </w:rPr>
          <m:t xml:space="preserve">S ≤ </m:t>
        </m:r>
        <m:f>
          <m:num>
            <m:r>
              <m:rPr>
                <m:sty m:val="i"/>
              </m:rPr>
              <w:rPr>
                <w:rFonts w:ascii="Latin Modern Math" w:hAnsi="Latin Modern Math"/>
              </w:rPr>
              <m:t xml:space="preserve">2π</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ER</m:t>
            </m:r>
          </m:num>
          <m:den>
            <m:r>
              <m:rPr>
                <m:sty m:val="i"/>
              </m:rPr>
              <w:rPr>
                <w:rFonts w:ascii="Latin Modern Math" w:hAnsi="Latin Modern Math"/>
              </w:rPr>
              <m:t xml:space="preserve">ħc</m:t>
            </m:r>
          </m:den>
        </m:f>
      </m:oMath>
      <w:r>
        <w:rPr/>
        <w:t xml:space="preserve">, ER and ħc both have units J m. The right side has units </w:t>
      </w:r>
      <m:oMath>
        <m:f>
          <m:num>
            <m:r>
              <m:rPr>
                <m:nor m:val="1"/>
                <m:sty m:val="p"/>
              </m:rPr>
              <w:rPr>
                <w:rFonts w:ascii="Latin Modern Math" w:hAnsi="Latin Modern Math"/>
              </w:rPr>
              <m:t xml:space="preserve">J</m:t>
            </m:r>
          </m:num>
          <m:den>
            <m:r>
              <m:rPr>
                <m:nor m:val="1"/>
                <m:sty m:val="p"/>
              </m:rPr>
              <w:rPr>
                <w:rFonts w:ascii="Latin Modern Math" w:hAnsi="Latin Modern Math"/>
              </w:rPr>
              <m:t xml:space="preserve">K</m:t>
            </m:r>
          </m:den>
        </m:f>
      </m:oMath>
      <w:r>
        <w:rPr/>
        <w:t xml:space="preserve">. Dividing by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xml:space="preserve"> gives a dimensionless number of entropy bits, not a quantity of work in joules.</w:t>
      </w:r>
    </w:p>
    <w:p>
      <w:pPr/>
      <w:r>
        <w:rPr/>
        <w:t xml:space="preserve">For uncharged Kerr, define </w:t>
      </w:r>
      <m:oMath>
        <m:r>
          <m:rPr>
            <m:sty m:val="i"/>
          </m:rPr>
          <w:rPr>
            <w:rFonts w:ascii="Latin Modern Math" w:hAnsi="Latin Modern Math"/>
          </w:rPr>
          <m:t xml:space="preserve">a = </m:t>
        </m:r>
        <m:f>
          <m:num>
            <m:r>
              <m:rPr>
                <m:sty m:val="i"/>
              </m:rPr>
              <w:rPr>
                <w:rFonts w:ascii="Latin Modern Math" w:hAnsi="Latin Modern Math"/>
              </w:rPr>
              <m:t xml:space="preserve">J</m:t>
            </m:r>
          </m:num>
          <m:den>
            <m:r>
              <m:rPr>
                <m:sty m:val="i"/>
              </m:rPr>
              <w:rPr>
                <w:rFonts w:ascii="Latin Modern Math" w:hAnsi="Latin Modern Math"/>
              </w:rPr>
              <m:t xml:space="preserve">Mc</m:t>
            </m:r>
          </m:den>
        </m:f>
      </m:oMath>
      <w:r>
        <w:rPr/>
        <w:t xml:space="preserve">, </w:t>
      </w:r>
      <m:oMath>
        <m:r>
          <m:rPr>
            <m:sty m:val="i"/>
          </m:rPr>
          <w:rPr>
            <w:rFonts w:ascii="Latin Modern Math" w:hAnsi="Latin Modern Math"/>
          </w:rPr>
          <m:t xml:space="preserve">χ = </m:t>
        </m:r>
        <m:f>
          <m:num>
            <m:r>
              <m:rPr>
                <m:sty m:val="i"/>
              </m:rPr>
              <w:rPr>
                <w:rFonts w:ascii="Latin Modern Math" w:hAnsi="Latin Modern Math"/>
              </w:rPr>
              <m:t xml:space="preserve">a </m:t>
            </m:r>
            <m:sSup>
              <m:e>
                <m:r>
                  <m:rPr>
                    <m:sty m:val="i"/>
                  </m:rPr>
                  <w:rPr>
                    <w:rFonts w:ascii="Latin Modern Math" w:hAnsi="Latin Modern Math"/>
                  </w:rPr>
                  <m:t xml:space="preserve">c</m:t>
                </m:r>
              </m:e>
              <m:sup>
                <m:r>
                  <m:rPr>
                    <m:nor m:val="1"/>
                    <m:sty m:val="p"/>
                  </m:rPr>
                  <w:rPr>
                    <w:rFonts w:ascii="Latin Modern Math" w:hAnsi="Latin Modern Math"/>
                  </w:rPr>
                  <m:t xml:space="preserve">2</m:t>
                </m:r>
              </m:sup>
            </m:sSup>
          </m:num>
          <m:den>
            <m:r>
              <m:rPr>
                <m:sty m:val="i"/>
              </m:rPr>
              <w:rPr>
                <w:rFonts w:ascii="Latin Modern Math" w:hAnsi="Latin Modern Math"/>
              </w:rPr>
              <m:t xml:space="preserve">GM</m:t>
            </m:r>
          </m:den>
        </m:f>
        <m:r>
          <m:rPr>
            <m:sty m:val="i"/>
          </m:rPr>
          <w:rPr>
            <w:rFonts w:ascii="Latin Modern Math" w:hAnsi="Latin Modern Math"/>
          </w:rPr>
          <m:t xml:space="preserve"> = </m:t>
        </m:r>
        <m:f>
          <m:num>
            <m:r>
              <m:rPr>
                <m:sty m:val="i"/>
              </m:rPr>
              <w:rPr>
                <w:rFonts w:ascii="Latin Modern Math" w:hAnsi="Latin Modern Math"/>
              </w:rPr>
              <m:t xml:space="preserve">Jc</m:t>
            </m:r>
          </m:num>
          <m:den>
            <m:r>
              <m:rPr>
                <m:sty m:val="i"/>
              </m:rPr>
              <w:rPr>
                <w:rFonts w:ascii="Latin Modern Math" w:hAnsi="Latin Modern Math"/>
              </w:rPr>
              <m:t xml:space="preserve">G</m:t>
            </m:r>
            <m:sSup>
              <m:e>
                <m:r>
                  <m:rPr>
                    <m:sty m:val="i"/>
                  </m:rPr>
                  <w:rPr>
                    <w:rFonts w:ascii="Latin Modern Math" w:hAnsi="Latin Modern Math"/>
                  </w:rPr>
                  <m:t xml:space="preserve">M</m:t>
                </m:r>
              </m:e>
              <m:sup>
                <m:r>
                  <m:rPr>
                    <m:nor m:val="1"/>
                    <m:sty m:val="p"/>
                  </m:rPr>
                  <w:rPr>
                    <w:rFonts w:ascii="Latin Modern Math" w:hAnsi="Latin Modern Math"/>
                  </w:rPr>
                  <m:t xml:space="preserve">2</m:t>
                </m:r>
              </m:sup>
            </m:sSup>
          </m:den>
        </m:f>
      </m:oMath>
      <w:r>
        <w:rPr/>
        <w:t xml:space="preserve">, and </w:t>
      </w:r>
      <m:oMath>
        <m:sSub>
          <m:e>
            <m:r>
              <m:rPr>
                <m:sty m:val="i"/>
              </m:rPr>
              <w:rPr>
                <w:rFonts w:ascii="Latin Modern Math" w:hAnsi="Latin Modern Math"/>
              </w:rPr>
              <m:t xml:space="preserve">r</m:t>
            </m:r>
          </m:e>
          <m:sub>
            <m:r>
              <m:rPr>
                <m:nor m:val="1"/>
                <m:sty m:val="p"/>
              </m:rPr>
              <w:rPr>
                <w:rFonts w:ascii="Latin Modern Math" w:hAnsi="Latin Modern Math"/>
              </w:rPr>
              <m:t xml:space="preserve">+</m:t>
            </m:r>
          </m:sub>
        </m:sSub>
        <m:r>
          <m:rPr>
            <m:sty m:val="i"/>
          </m:rPr>
          <w:rPr>
            <w:rFonts w:ascii="Latin Modern Math" w:hAnsi="Latin Modern Math"/>
          </w:rPr>
          <m:t xml:space="preserve"> = </m:t>
        </m:r>
        <m:d>
          <m:dPr>
            <m:begChr m:val="("/>
            <m:endChr m:val=")"/>
          </m:dPr>
          <m:e>
            <m:f>
              <m:num>
                <m:r>
                  <m:rPr>
                    <m:sty m:val="i"/>
                  </m:rPr>
                  <w:rPr>
                    <w:rFonts w:ascii="Latin Modern Math" w:hAnsi="Latin Modern Math"/>
                  </w:rPr>
                  <m:t xml:space="preserve">GM</m:t>
                </m:r>
              </m:num>
              <m:den>
                <m:sSup>
                  <m:e>
                    <m:r>
                      <m:rPr>
                        <m:sty m:val="i"/>
                      </m:rPr>
                      <w:rPr>
                        <w:rFonts w:ascii="Latin Modern Math" w:hAnsi="Latin Modern Math"/>
                      </w:rPr>
                      <m:t xml:space="preserve">c</m:t>
                    </m:r>
                  </m:e>
                  <m:sup>
                    <m:r>
                      <m:rPr>
                        <m:nor m:val="1"/>
                        <m:sty m:val="p"/>
                      </m:rPr>
                      <w:rPr>
                        <w:rFonts w:ascii="Latin Modern Math" w:hAnsi="Latin Modern Math"/>
                      </w:rPr>
                      <m:t xml:space="preserve">2</m:t>
                    </m:r>
                  </m:sup>
                </m:sSup>
              </m:den>
            </m:f>
          </m:e>
        </m:d>
        <m:d>
          <m:dPr>
            <m:begChr m:val="("/>
            <m:endChr m:val=")"/>
          </m:dPr>
          <m:e>
            <m:r>
              <m:rPr>
                <m:nor m:val="1"/>
                <m:sty m:val="p"/>
              </m:rPr>
              <w:rPr>
                <w:rFonts w:ascii="Latin Modern Math" w:hAnsi="Latin Modern Math"/>
              </w:rPr>
              <m:t xml:space="preserve">1</m:t>
            </m:r>
            <m:r>
              <m:rPr>
                <m:sty m:val="i"/>
              </m:rPr>
              <w:rPr>
                <w:rFonts w:ascii="Latin Modern Math" w:hAnsi="Latin Modern Math"/>
              </w:rPr>
              <m:t xml:space="preserve"> + </m:t>
            </m:r>
            <m:rad>
              <m:radPr>
                <m:degHide m:val="1"/>
              </m:radPr>
              <m:deg/>
              <m:e>
                <m:r>
                  <m:rPr>
                    <m:nor m:val="1"/>
                    <m:sty m:val="p"/>
                  </m:rPr>
                  <w:rPr>
                    <w:rFonts w:ascii="Latin Modern Math" w:hAnsi="Latin Modern Math"/>
                  </w:rPr>
                  <m:t xml:space="preserve">1</m:t>
                </m:r>
                <m:r>
                  <m:rPr>
                    <m:sty m:val="i"/>
                  </m:rPr>
                  <w:rPr>
                    <w:rFonts w:ascii="Latin Modern Math" w:hAnsi="Latin Modern Math"/>
                  </w:rPr>
                  <m:t xml:space="preserve"> − </m:t>
                </m:r>
                <m:sSup>
                  <m:e>
                    <m:r>
                      <m:rPr>
                        <m:sty m:val="i"/>
                      </m:rPr>
                      <w:rPr>
                        <w:rFonts w:ascii="Latin Modern Math" w:hAnsi="Latin Modern Math"/>
                      </w:rPr>
                      <m:t xml:space="preserve">χ</m:t>
                    </m:r>
                  </m:e>
                  <m:sup>
                    <m:r>
                      <m:rPr>
                        <m:nor m:val="1"/>
                        <m:sty m:val="p"/>
                      </m:rPr>
                      <w:rPr>
                        <w:rFonts w:ascii="Latin Modern Math" w:hAnsi="Latin Modern Math"/>
                      </w:rPr>
                      <m:t xml:space="preserve">2</m:t>
                    </m:r>
                  </m:sup>
                </m:sSup>
              </m:e>
            </m:rad>
          </m:e>
        </m:d>
      </m:oMath>
      <w:r>
        <w:rPr/>
        <w:t xml:space="preserve">. The horizon area </w:t>
      </w:r>
      <m:oMath>
        <m:r>
          <m:rPr>
            <m:sty m:val="i"/>
          </m:rPr>
          <w:rPr>
            <w:rFonts w:ascii="Latin Modern Math" w:hAnsi="Latin Modern Math"/>
          </w:rPr>
          <m:t xml:space="preserve">A = 4π</m:t>
        </m:r>
        <m:d>
          <m:dPr>
            <m:begChr m:val="("/>
            <m:endChr m:val=")"/>
          </m:dPr>
          <m:e>
            <m:sSubSup>
              <m:e>
                <m:r>
                  <m:rPr>
                    <m:sty m:val="i"/>
                  </m:rPr>
                  <w:rPr>
                    <w:rFonts w:ascii="Latin Modern Math" w:hAnsi="Latin Modern Math"/>
                  </w:rPr>
                  <m:t xml:space="preserve">r</m:t>
                </m:r>
              </m:e>
              <m:sub>
                <m:r>
                  <m:rPr>
                    <m:nor m:val="1"/>
                    <m:sty m:val="p"/>
                  </m:rPr>
                  <w:rPr>
                    <w:rFonts w:ascii="Latin Modern Math" w:hAnsi="Latin Modern Math"/>
                  </w:rPr>
                  <m:t xml:space="preserve">+</m:t>
                </m:r>
              </m:sub>
              <m:sup>
                <m:r>
                  <m:rPr>
                    <m:nor m:val="1"/>
                    <m:sty m:val="p"/>
                  </m:rPr>
                  <w:rPr>
                    <w:rFonts w:ascii="Latin Modern Math" w:hAnsi="Latin Modern Math"/>
                  </w:rPr>
                  <m:t xml:space="preserve">2</m:t>
                </m:r>
              </m:sup>
            </m:sSubSup>
            <m:r>
              <m:rPr>
                <m:sty m:val="i"/>
              </m:rPr>
              <w:rPr>
                <w:rFonts w:ascii="Latin Modern Math" w:hAnsi="Latin Modern Math"/>
              </w:rPr>
              <m:t xml:space="preserve"> + </m:t>
            </m:r>
            <m:sSup>
              <m:e>
                <m:r>
                  <m:rPr>
                    <m:sty m:val="i"/>
                  </m:rPr>
                  <w:rPr>
                    <w:rFonts w:ascii="Latin Modern Math" w:hAnsi="Latin Modern Math"/>
                  </w:rPr>
                  <m:t xml:space="preserve">a</m:t>
                </m:r>
              </m:e>
              <m:sup>
                <m:r>
                  <m:rPr>
                    <m:nor m:val="1"/>
                    <m:sty m:val="p"/>
                  </m:rPr>
                  <w:rPr>
                    <w:rFonts w:ascii="Latin Modern Math" w:hAnsi="Latin Modern Math"/>
                  </w:rPr>
                  <m:t xml:space="preserve">2</m:t>
                </m:r>
              </m:sup>
            </m:sSup>
          </m:e>
        </m:d>
        <m:r>
          <m:rPr>
            <m:sty m:val="i"/>
          </m:rPr>
          <w:rPr>
            <w:rFonts w:ascii="Latin Modern Math" w:hAnsi="Latin Modern Math"/>
          </w:rPr>
          <m:t xml:space="preserve"> = </m:t>
        </m:r>
        <m:f>
          <m:num>
            <m:r>
              <m:rPr>
                <m:sty m:val="i"/>
              </m:rPr>
              <w:rPr>
                <w:rFonts w:ascii="Latin Modern Math" w:hAnsi="Latin Modern Math"/>
              </w:rPr>
              <m:t xml:space="preserve">8π</m:t>
            </m:r>
            <m:sSup>
              <m:e>
                <m:r>
                  <m:rPr>
                    <m:sty m:val="i"/>
                  </m:rPr>
                  <w:rPr>
                    <w:rFonts w:ascii="Latin Modern Math" w:hAnsi="Latin Modern Math"/>
                  </w:rPr>
                  <m:t xml:space="preserve">G</m:t>
                </m:r>
              </m:e>
              <m:sup>
                <m:r>
                  <m:rPr>
                    <m:nor m:val="1"/>
                    <m:sty m:val="p"/>
                  </m:rPr>
                  <w:rPr>
                    <w:rFonts w:ascii="Latin Modern Math" w:hAnsi="Latin Modern Math"/>
                  </w:rPr>
                  <m:t xml:space="preserve">2</m:t>
                </m:r>
              </m:sup>
            </m:sSup>
            <m:sSup>
              <m:e>
                <m:r>
                  <m:rPr>
                    <m:sty m:val="i"/>
                  </m:rPr>
                  <w:rPr>
                    <w:rFonts w:ascii="Latin Modern Math" w:hAnsi="Latin Modern Math"/>
                  </w:rPr>
                  <m:t xml:space="preserve">M</m:t>
                </m:r>
              </m:e>
              <m:sup>
                <m:r>
                  <m:rPr>
                    <m:nor m:val="1"/>
                    <m:sty m:val="p"/>
                  </m:rPr>
                  <w:rPr>
                    <w:rFonts w:ascii="Latin Modern Math" w:hAnsi="Latin Modern Math"/>
                  </w:rPr>
                  <m:t xml:space="preserve">2</m:t>
                </m:r>
              </m:sup>
            </m:sSup>
            <m:d>
              <m:dPr>
                <m:begChr m:val="["/>
                <m:endChr m:val="]"/>
              </m:dPr>
              <m:e>
                <m:r>
                  <m:rPr>
                    <m:nor m:val="1"/>
                    <m:sty m:val="p"/>
                  </m:rPr>
                  <w:rPr>
                    <w:rFonts w:ascii="Latin Modern Math" w:hAnsi="Latin Modern Math"/>
                  </w:rPr>
                  <m:t xml:space="preserve">1</m:t>
                </m:r>
                <m:r>
                  <m:rPr>
                    <m:sty m:val="i"/>
                  </m:rPr>
                  <w:rPr>
                    <w:rFonts w:ascii="Latin Modern Math" w:hAnsi="Latin Modern Math"/>
                  </w:rPr>
                  <m:t xml:space="preserve"> + </m:t>
                </m:r>
                <m:rad>
                  <m:radPr>
                    <m:degHide m:val="1"/>
                  </m:radPr>
                  <m:deg/>
                  <m:e>
                    <m:r>
                      <m:rPr>
                        <m:nor m:val="1"/>
                        <m:sty m:val="p"/>
                      </m:rPr>
                      <w:rPr>
                        <w:rFonts w:ascii="Latin Modern Math" w:hAnsi="Latin Modern Math"/>
                      </w:rPr>
                      <m:t xml:space="preserve">1</m:t>
                    </m:r>
                    <m:r>
                      <m:rPr>
                        <m:sty m:val="i"/>
                      </m:rPr>
                      <w:rPr>
                        <w:rFonts w:ascii="Latin Modern Math" w:hAnsi="Latin Modern Math"/>
                      </w:rPr>
                      <m:t xml:space="preserve"> − </m:t>
                    </m:r>
                    <m:sSup>
                      <m:e>
                        <m:r>
                          <m:rPr>
                            <m:sty m:val="i"/>
                          </m:rPr>
                          <w:rPr>
                            <w:rFonts w:ascii="Latin Modern Math" w:hAnsi="Latin Modern Math"/>
                          </w:rPr>
                          <m:t xml:space="preserve">χ</m:t>
                        </m:r>
                      </m:e>
                      <m:sup>
                        <m:r>
                          <m:rPr>
                            <m:nor m:val="1"/>
                            <m:sty m:val="p"/>
                          </m:rPr>
                          <w:rPr>
                            <w:rFonts w:ascii="Latin Modern Math" w:hAnsi="Latin Modern Math"/>
                          </w:rPr>
                          <m:t xml:space="preserve">2</m:t>
                        </m:r>
                      </m:sup>
                    </m:sSup>
                  </m:e>
                </m:rad>
              </m:e>
            </m:d>
          </m:num>
          <m:den>
            <m:sSup>
              <m:e>
                <m:r>
                  <m:rPr>
                    <m:sty m:val="i"/>
                  </m:rPr>
                  <w:rPr>
                    <w:rFonts w:ascii="Latin Modern Math" w:hAnsi="Latin Modern Math"/>
                  </w:rPr>
                  <m:t xml:space="preserve">c</m:t>
                </m:r>
              </m:e>
              <m:sup>
                <m:r>
                  <m:rPr>
                    <m:nor m:val="1"/>
                    <m:sty m:val="p"/>
                  </m:rPr>
                  <w:rPr>
                    <w:rFonts w:ascii="Latin Modern Math" w:hAnsi="Latin Modern Math"/>
                  </w:rPr>
                  <m:t xml:space="preserve">4</m:t>
                </m:r>
              </m:sup>
            </m:sSup>
          </m:den>
        </m:f>
      </m:oMath>
      <w:r>
        <w:rPr/>
        <w:t xml:space="preserve">. Substitution into </w:t>
      </w:r>
      <m:oMath>
        <m:r>
          <m:rPr>
            <m:sty m:val="i"/>
          </m:rPr>
          <w:rPr>
            <w:rFonts w:ascii="Latin Modern Math" w:hAnsi="Latin Modern Math"/>
          </w:rPr>
          <m:t xml:space="preserve">S = </m:t>
        </m:r>
        <m:f>
          <m:num>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A</m:t>
            </m:r>
          </m:num>
          <m:den>
            <m:r>
              <m:rPr>
                <m:sty m:val="i"/>
              </m:rPr>
              <w:rPr>
                <w:rFonts w:ascii="Latin Modern Math" w:hAnsi="Latin Modern Math"/>
              </w:rPr>
              <m:t xml:space="preserve">4</m:t>
            </m:r>
            <m:sSubSup>
              <m:e>
                <m:r>
                  <m:rPr>
                    <m:sty m:val="i"/>
                  </m:rPr>
                  <w:rPr>
                    <w:rFonts w:ascii="Latin Modern Math" w:hAnsi="Latin Modern Math"/>
                  </w:rPr>
                  <m:t xml:space="preserve">ℓ</m:t>
                </m:r>
              </m:e>
              <m:sub>
                <m:r>
                  <m:rPr>
                    <m:nor m:val="1"/>
                    <m:sty m:val="p"/>
                  </m:rPr>
                  <w:rPr>
                    <w:rFonts w:ascii="Latin Modern Math" w:hAnsi="Latin Modern Math"/>
                  </w:rPr>
                  <m:t xml:space="preserve">P</m:t>
                </m:r>
              </m:sub>
              <m:sup>
                <m:r>
                  <m:rPr>
                    <m:nor m:val="1"/>
                    <m:sty m:val="p"/>
                  </m:rPr>
                  <w:rPr>
                    <w:rFonts w:ascii="Latin Modern Math" w:hAnsi="Latin Modern Math"/>
                  </w:rPr>
                  <m:t xml:space="preserve">2</m:t>
                </m:r>
              </m:sup>
            </m:sSubSup>
          </m:den>
        </m:f>
      </m:oMath>
      <w:r>
        <w:rPr/>
        <w:t xml:space="preserve">, with </w:t>
      </w:r>
      <m:oMath>
        <m:sSubSup>
          <m:e>
            <m:r>
              <m:rPr>
                <m:sty m:val="i"/>
              </m:rPr>
              <w:rPr>
                <w:rFonts w:ascii="Latin Modern Math" w:hAnsi="Latin Modern Math"/>
              </w:rPr>
              <m:t xml:space="preserve">ℓ</m:t>
            </m:r>
          </m:e>
          <m:sub>
            <m:r>
              <m:rPr>
                <m:nor m:val="1"/>
                <m:sty m:val="p"/>
              </m:rPr>
              <w:rPr>
                <w:rFonts w:ascii="Latin Modern Math" w:hAnsi="Latin Modern Math"/>
              </w:rPr>
              <m:t xml:space="preserve">P</m:t>
            </m:r>
          </m:sub>
          <m:sup>
            <m:r>
              <m:rPr>
                <m:nor m:val="1"/>
                <m:sty m:val="p"/>
              </m:rPr>
              <w:rPr>
                <w:rFonts w:ascii="Latin Modern Math" w:hAnsi="Latin Modern Math"/>
              </w:rPr>
              <m:t xml:space="preserve">2</m:t>
            </m:r>
          </m:sup>
        </m:sSubSup>
        <m:r>
          <m:rPr>
            <m:sty m:val="i"/>
          </m:rPr>
          <w:rPr>
            <w:rFonts w:ascii="Latin Modern Math" w:hAnsi="Latin Modern Math"/>
          </w:rPr>
          <m:t xml:space="preserve"> = </m:t>
        </m:r>
        <m:f>
          <m:num>
            <m:r>
              <m:rPr>
                <m:sty m:val="i"/>
              </m:rPr>
              <w:rPr>
                <w:rFonts w:ascii="Latin Modern Math" w:hAnsi="Latin Modern Math"/>
              </w:rPr>
              <m:t xml:space="preserve">G ħ</m:t>
            </m:r>
          </m:num>
          <m:den>
            <m:sSup>
              <m:e>
                <m:r>
                  <m:rPr>
                    <m:sty m:val="i"/>
                  </m:rPr>
                  <w:rPr>
                    <w:rFonts w:ascii="Latin Modern Math" w:hAnsi="Latin Modern Math"/>
                  </w:rPr>
                  <m:t xml:space="preserve">c</m:t>
                </m:r>
              </m:e>
              <m:sup>
                <m:r>
                  <m:rPr>
                    <m:nor m:val="1"/>
                    <m:sty m:val="p"/>
                  </m:rPr>
                  <w:rPr>
                    <w:rFonts w:ascii="Latin Modern Math" w:hAnsi="Latin Modern Math"/>
                  </w:rPr>
                  <m:t xml:space="preserve">3</m:t>
                </m:r>
              </m:sup>
            </m:sSup>
          </m:den>
        </m:f>
      </m:oMath>
      <w:r>
        <w:rPr/>
        <w:t xml:space="preserve">, gives </w:t>
      </w:r>
      <m:oMath>
        <m:sSub>
          <m:e>
            <m:r>
              <m:rPr>
                <m:sty m:val="i"/>
              </m:rPr>
              <w:rPr>
                <w:rFonts w:ascii="Latin Modern Math" w:hAnsi="Latin Modern Math"/>
              </w:rPr>
              <m:t xml:space="preserve">S</m:t>
            </m:r>
          </m:e>
          <m:sub>
            <m:r>
              <m:rPr>
                <m:nor m:val="1"/>
                <m:sty m:val="p"/>
              </m:rPr>
              <w:rPr>
                <w:rFonts w:ascii="Latin Modern Math" w:hAnsi="Latin Modern Math"/>
              </w:rPr>
              <m:t xml:space="preserve">Kerr</m:t>
            </m:r>
          </m:sub>
        </m:sSub>
        <m:r>
          <m:rPr>
            <m:sty m:val="i"/>
          </m:rPr>
          <w:rPr>
            <w:rFonts w:ascii="Latin Modern Math" w:hAnsi="Latin Modern Math"/>
          </w:rPr>
          <m:t xml:space="preserve"> = </m:t>
        </m:r>
        <m:f>
          <m:num>
            <m:r>
              <m:rPr>
                <m:sty m:val="i"/>
              </m:rPr>
              <w:rPr>
                <w:rFonts w:ascii="Latin Modern Math" w:hAnsi="Latin Modern Math"/>
              </w:rPr>
              <m:t xml:space="preserve">2π</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G</m:t>
            </m:r>
            <m:sSup>
              <m:e>
                <m:r>
                  <m:rPr>
                    <m:sty m:val="i"/>
                  </m:rPr>
                  <w:rPr>
                    <w:rFonts w:ascii="Latin Modern Math" w:hAnsi="Latin Modern Math"/>
                  </w:rPr>
                  <m:t xml:space="preserve">M</m:t>
                </m:r>
              </m:e>
              <m:sup>
                <m:r>
                  <m:rPr>
                    <m:nor m:val="1"/>
                    <m:sty m:val="p"/>
                  </m:rPr>
                  <w:rPr>
                    <w:rFonts w:ascii="Latin Modern Math" w:hAnsi="Latin Modern Math"/>
                  </w:rPr>
                  <m:t xml:space="preserve">2</m:t>
                </m:r>
              </m:sup>
            </m:sSup>
            <m:d>
              <m:dPr>
                <m:begChr m:val="["/>
                <m:endChr m:val="]"/>
              </m:dPr>
              <m:e>
                <m:r>
                  <m:rPr>
                    <m:nor m:val="1"/>
                    <m:sty m:val="p"/>
                  </m:rPr>
                  <w:rPr>
                    <w:rFonts w:ascii="Latin Modern Math" w:hAnsi="Latin Modern Math"/>
                  </w:rPr>
                  <m:t xml:space="preserve">1</m:t>
                </m:r>
                <m:r>
                  <m:rPr>
                    <m:sty m:val="i"/>
                  </m:rPr>
                  <w:rPr>
                    <w:rFonts w:ascii="Latin Modern Math" w:hAnsi="Latin Modern Math"/>
                  </w:rPr>
                  <m:t xml:space="preserve"> + </m:t>
                </m:r>
                <m:rad>
                  <m:radPr>
                    <m:degHide m:val="1"/>
                  </m:radPr>
                  <m:deg/>
                  <m:e>
                    <m:r>
                      <m:rPr>
                        <m:nor m:val="1"/>
                        <m:sty m:val="p"/>
                      </m:rPr>
                      <w:rPr>
                        <w:rFonts w:ascii="Latin Modern Math" w:hAnsi="Latin Modern Math"/>
                      </w:rPr>
                      <m:t xml:space="preserve">1</m:t>
                    </m:r>
                    <m:r>
                      <m:rPr>
                        <m:sty m:val="i"/>
                      </m:rPr>
                      <w:rPr>
                        <w:rFonts w:ascii="Latin Modern Math" w:hAnsi="Latin Modern Math"/>
                      </w:rPr>
                      <m:t xml:space="preserve"> − </m:t>
                    </m:r>
                    <m:sSup>
                      <m:e>
                        <m:r>
                          <m:rPr>
                            <m:sty m:val="i"/>
                          </m:rPr>
                          <w:rPr>
                            <w:rFonts w:ascii="Latin Modern Math" w:hAnsi="Latin Modern Math"/>
                          </w:rPr>
                          <m:t xml:space="preserve">χ</m:t>
                        </m:r>
                      </m:e>
                      <m:sup>
                        <m:r>
                          <m:rPr>
                            <m:nor m:val="1"/>
                            <m:sty m:val="p"/>
                          </m:rPr>
                          <w:rPr>
                            <w:rFonts w:ascii="Latin Modern Math" w:hAnsi="Latin Modern Math"/>
                          </w:rPr>
                          <m:t xml:space="preserve">2</m:t>
                        </m:r>
                      </m:sup>
                    </m:sSup>
                  </m:e>
                </m:rad>
              </m:e>
            </m:d>
          </m:num>
          <m:den>
            <m:r>
              <m:rPr>
                <m:sty m:val="i"/>
              </m:rPr>
              <w:rPr>
                <w:rFonts w:ascii="Latin Modern Math" w:hAnsi="Latin Modern Math"/>
              </w:rPr>
              <m:t xml:space="preserve">ħc</m:t>
            </m:r>
          </m:den>
        </m:f>
      </m:oMath>
      <w:r>
        <w:rPr/>
        <w:t xml:space="preserve">. Thus at fixed M and </w:t>
      </w:r>
      <m:oMath>
        <m:d>
          <m:dPr>
            <m:begChr m:val="|"/>
            <m:endChr m:val="|"/>
          </m:dPr>
          <m:e>
            <m:r>
              <m:rPr>
                <m:sty m:val="i"/>
              </m:rPr>
              <w:rPr>
                <w:rFonts w:ascii="Latin Modern Math" w:hAnsi="Latin Modern Math"/>
              </w:rPr>
              <m:t xml:space="preserve">χ</m:t>
            </m:r>
          </m:e>
        </m:d>
        <m:r>
          <m:rPr>
            <m:sty m:val="i"/>
          </m:rPr>
          <w:rPr>
            <w:rFonts w:ascii="Latin Modern Math" w:hAnsi="Latin Modern Math"/>
          </w:rPr>
          <m:t xml:space="preserve"> ≤ </m:t>
        </m:r>
        <m:r>
          <m:rPr>
            <m:nor m:val="1"/>
            <m:sty m:val="p"/>
          </m:rPr>
          <w:rPr>
            <w:rFonts w:ascii="Latin Modern Math" w:hAnsi="Latin Modern Math"/>
          </w:rPr>
          <m:t xml:space="preserve">1</m:t>
        </m:r>
      </m:oMath>
      <w:r>
        <w:rPr/>
        <w:t>,</w:t>
      </w:r>
    </w:p>
    <w:p>
      <w:pPr>
        <w:pStyle w:val="Equation"/>
      </w:pPr>
      <m:oMathPara>
        <m:oMath>
          <m:f>
            <m:num>
              <m:sSub>
                <m:e>
                  <m:r>
                    <m:rPr>
                      <m:sty m:val="i"/>
                    </m:rPr>
                    <w:rPr>
                      <w:rFonts w:ascii="Latin Modern Math" w:hAnsi="Latin Modern Math"/>
                    </w:rPr>
                    <m:t xml:space="preserve">S</m:t>
                  </m:r>
                </m:e>
                <m:sub>
                  <m:r>
                    <m:rPr>
                      <m:nor m:val="1"/>
                      <m:sty m:val="p"/>
                    </m:rPr>
                    <w:rPr>
                      <w:rFonts w:ascii="Latin Modern Math" w:hAnsi="Latin Modern Math"/>
                    </w:rPr>
                    <m:t xml:space="preserve">Kerr</m:t>
                  </m:r>
                </m:sub>
              </m:sSub>
            </m:num>
            <m:den>
              <m:sSub>
                <m:e>
                  <m:r>
                    <m:rPr>
                      <m:sty m:val="i"/>
                    </m:rPr>
                    <w:rPr>
                      <w:rFonts w:ascii="Latin Modern Math" w:hAnsi="Latin Modern Math"/>
                    </w:rPr>
                    <m:t xml:space="preserve">S</m:t>
                  </m:r>
                </m:e>
                <m:sub>
                  <m:r>
                    <m:rPr>
                      <m:nor m:val="1"/>
                      <m:sty m:val="p"/>
                    </m:rPr>
                    <w:rPr>
                      <w:rFonts w:ascii="Latin Modern Math" w:hAnsi="Latin Modern Math"/>
                    </w:rPr>
                    <m:t xml:space="preserve">Schwarzschild</m:t>
                  </m:r>
                </m:sub>
              </m:sSub>
            </m:den>
          </m:f>
          <m:r>
            <m:rPr>
              <m:sty m:val="i"/>
            </m:rPr>
            <w:rPr>
              <w:rFonts w:ascii="Latin Modern Math" w:hAnsi="Latin Modern Math"/>
            </w:rPr>
            <m:t xml:space="preserve"> = </m:t>
          </m:r>
          <m:f>
            <m:num>
              <m:d>
                <m:dPr>
                  <m:begChr m:val="["/>
                  <m:endChr m:val="]"/>
                </m:dPr>
                <m:e>
                  <m:r>
                    <m:rPr>
                      <m:nor m:val="1"/>
                      <m:sty m:val="p"/>
                    </m:rPr>
                    <w:rPr>
                      <w:rFonts w:ascii="Latin Modern Math" w:hAnsi="Latin Modern Math"/>
                    </w:rPr>
                    <m:t xml:space="preserve">1</m:t>
                  </m:r>
                  <m:r>
                    <m:rPr>
                      <m:sty m:val="i"/>
                    </m:rPr>
                    <w:rPr>
                      <w:rFonts w:ascii="Latin Modern Math" w:hAnsi="Latin Modern Math"/>
                    </w:rPr>
                    <m:t xml:space="preserve"> + </m:t>
                  </m:r>
                  <m:rad>
                    <m:radPr>
                      <m:degHide m:val="1"/>
                    </m:radPr>
                    <m:deg/>
                    <m:e>
                      <m:r>
                        <m:rPr>
                          <m:nor m:val="1"/>
                          <m:sty m:val="p"/>
                        </m:rPr>
                        <w:rPr>
                          <w:rFonts w:ascii="Latin Modern Math" w:hAnsi="Latin Modern Math"/>
                        </w:rPr>
                        <m:t xml:space="preserve">1</m:t>
                      </m:r>
                      <m:r>
                        <m:rPr>
                          <m:sty m:val="i"/>
                        </m:rPr>
                        <w:rPr>
                          <w:rFonts w:ascii="Latin Modern Math" w:hAnsi="Latin Modern Math"/>
                        </w:rPr>
                        <m:t xml:space="preserve"> − </m:t>
                      </m:r>
                      <m:sSup>
                        <m:e>
                          <m:r>
                            <m:rPr>
                              <m:sty m:val="i"/>
                            </m:rPr>
                            <w:rPr>
                              <w:rFonts w:ascii="Latin Modern Math" w:hAnsi="Latin Modern Math"/>
                            </w:rPr>
                            <m:t xml:space="preserve">χ</m:t>
                          </m:r>
                        </m:e>
                        <m:sup>
                          <m:r>
                            <m:rPr>
                              <m:nor m:val="1"/>
                              <m:sty m:val="p"/>
                            </m:rPr>
                            <w:rPr>
                              <w:rFonts w:ascii="Latin Modern Math" w:hAnsi="Latin Modern Math"/>
                            </w:rPr>
                            <m:t xml:space="preserve">2</m:t>
                          </m:r>
                        </m:sup>
                      </m:sSup>
                    </m:e>
                  </m:rad>
                </m:e>
              </m:d>
            </m:num>
            <m:den>
              <m:r>
                <m:rPr>
                  <m:nor m:val="1"/>
                  <m:sty m:val="p"/>
                </m:rPr>
                <w:rPr>
                  <w:rFonts w:ascii="Latin Modern Math" w:hAnsi="Latin Modern Math"/>
                </w:rPr>
                <m:t xml:space="preserve">2</m:t>
              </m:r>
            </m:den>
          </m:f>
          <m:r>
            <m:rPr>
              <m:nor m:val="1"/>
              <m:sty m:val="p"/>
            </m:rPr>
            <w:rPr>
              <w:rFonts w:ascii="Latin Modern Math" w:hAnsi="Latin Modern Math"/>
            </w:rPr>
            <m:t xml:space="preserve">,</m:t>
          </m:r>
        </m:oMath>
      </m:oMathPara>
    </w:p>
    <w:p>
      <w:pPr/>
      <w:r>
        <w:rPr/>
        <w:t xml:space="preserve">which lies between </w:t>
      </w:r>
      <m:oMath>
        <m:f>
          <m:num>
            <m:r>
              <m:rPr>
                <m:nor m:val="1"/>
                <m:sty m:val="p"/>
              </m:rPr>
              <w:rPr>
                <w:rFonts w:ascii="Latin Modern Math" w:hAnsi="Latin Modern Math"/>
              </w:rPr>
              <m:t xml:space="preserve">1</m:t>
            </m:r>
          </m:num>
          <m:den>
            <m:r>
              <m:rPr>
                <m:nor m:val="1"/>
                <m:sty m:val="p"/>
              </m:rPr>
              <w:rPr>
                <w:rFonts w:ascii="Latin Modern Math" w:hAnsi="Latin Modern Math"/>
              </w:rPr>
              <m:t xml:space="preserve">2</m:t>
            </m:r>
          </m:den>
        </m:f>
      </m:oMath>
      <w:r>
        <w:rPr/>
        <w:t xml:space="preserve"> and 1. Finite entropy at fixed finite M is established for this family; no statement about the universe's total volume or entropy follows. At fixed M, more spin means smaller area, so inserting a Schwarzschild formula for a spinning hole overestimates that horizon entropy. This conditional family comparison is not a general bound for any arbitrary finite region. [I09, I32]</w:t>
      </w:r>
    </w:p>
    <w:p>
      <w:pPr>
        <w:pStyle w:val="Heading3"/>
      </w:pPr>
      <w:bookmarkStart w:id="417" w:name="v5_l890"/>
      <w:r>
        <w:rPr>
          <w:sz w:val="26"/>
        </w:rPr>
        <w:t>I-CALC-03 Reset reference and heat versus production</w:t>
      </w:r>
      <w:bookmarkEnd w:id="417"/>
    </w:p>
    <w:p>
      <w:pP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sty m:val="i"/>
          </m:rPr>
          <w:rPr>
            <w:rFonts w:ascii="Latin Modern Math" w:hAnsi="Latin Modern Math"/>
          </w:rPr>
          <m:t xml:space="preserve"> T</m:t>
        </m:r>
        <m:r>
          <m:rPr>
            <m:nor m:val="1"/>
            <m:sty m:val="p"/>
          </m:rPr>
          <w:rPr>
            <w:rFonts w:ascii="Latin Modern Math" w:hAnsi="Latin Modern Math"/>
          </w:rPr>
          <m:t xml:space="preserve"> ln 2</m:t>
        </m:r>
      </m:oMath>
      <w:r>
        <w:rPr/>
        <w:t xml:space="preserve"> at 300 K equals approximately </w:t>
      </w:r>
      <m:oMath>
        <m:r>
          <m:rPr>
            <m:nor m:val="1"/>
            <m:sty m:val="p"/>
          </m:rPr>
          <w:rPr>
            <w:rFonts w:ascii="Latin Modern Math" w:hAnsi="Latin Modern Math"/>
          </w:rPr>
          <m:t xml:space="preserve">2.87098 × </m:t>
        </m:r>
        <m:sSup>
          <m:e>
            <m:r>
              <m:rPr>
                <m:nor m:val="1"/>
                <m:sty m:val="p"/>
              </m:rPr>
              <w:rPr>
                <w:rFonts w:ascii="Latin Modern Math" w:hAnsi="Latin Modern Math"/>
              </w:rPr>
              <m:t xml:space="preserve">10</m:t>
            </m:r>
          </m:e>
          <m:sup>
            <m:r>
              <m:rPr>
                <m:nor m:val="1"/>
                <m:sty m:val="p"/>
              </m:rPr>
              <w:rPr>
                <w:rFonts w:ascii="Latin Modern Math" w:hAnsi="Latin Modern Math"/>
              </w:rPr>
              <m:t xml:space="preserve">−21</m:t>
            </m:r>
          </m:sup>
        </m:sSup>
        <m:r>
          <m:rPr>
            <m:nor m:val="1"/>
            <m:sty m:val="p"/>
          </m:rPr>
          <w:rPr>
            <w:rFonts w:ascii="Latin Modern Math" w:hAnsi="Latin Modern Math"/>
          </w:rPr>
          <m:t xml:space="preserve"> J</m:t>
        </m:r>
      </m:oMath>
      <w:r>
        <w:rPr/>
        <w:t xml:space="preserve">; at 310 K it is </w:t>
      </w:r>
      <m:oMath>
        <m:r>
          <m:rPr>
            <m:nor m:val="1"/>
            <m:sty m:val="p"/>
          </m:rPr>
          <w:rPr>
            <w:rFonts w:ascii="Latin Modern Math" w:hAnsi="Latin Modern Math"/>
          </w:rPr>
          <m:t xml:space="preserve">2.96668 × </m:t>
        </m:r>
        <m:sSup>
          <m:e>
            <m:r>
              <m:rPr>
                <m:nor m:val="1"/>
                <m:sty m:val="p"/>
              </m:rPr>
              <w:rPr>
                <w:rFonts w:ascii="Latin Modern Math" w:hAnsi="Latin Modern Math"/>
              </w:rPr>
              <m:t xml:space="preserve">10</m:t>
            </m:r>
          </m:e>
          <m:sup>
            <m:r>
              <m:rPr>
                <m:nor m:val="1"/>
                <m:sty m:val="p"/>
              </m:rPr>
              <w:rPr>
                <w:rFonts w:ascii="Latin Modern Math" w:hAnsi="Latin Modern Math"/>
              </w:rPr>
              <m:t xml:space="preserve">−21</m:t>
            </m:r>
          </m:sup>
        </m:sSup>
        <m:r>
          <m:rPr>
            <m:nor m:val="1"/>
            <m:sty m:val="p"/>
          </m:rPr>
          <w:rPr>
            <w:rFonts w:ascii="Latin Modern Math" w:hAnsi="Latin Modern Math"/>
          </w:rPr>
          <m:t xml:space="preserve"> J</m:t>
        </m:r>
      </m:oMath>
      <w:r>
        <w:rPr/>
        <w:t xml:space="preserve">.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oMath>
      <w:r>
        <w:rPr/>
        <w:t xml:space="preserve"> has units </w:t>
      </w:r>
      <m:oMath>
        <m:f>
          <m:num>
            <m:r>
              <m:rPr>
                <m:nor m:val="1"/>
                <m:sty m:val="p"/>
              </m:rPr>
              <w:rPr>
                <w:rFonts w:ascii="Latin Modern Math" w:hAnsi="Latin Modern Math"/>
              </w:rPr>
              <m:t xml:space="preserve">J</m:t>
            </m:r>
          </m:num>
          <m:den>
            <m:r>
              <m:rPr>
                <m:nor m:val="1"/>
                <m:sty m:val="p"/>
              </m:rPr>
              <w:rPr>
                <w:rFonts w:ascii="Latin Modern Math" w:hAnsi="Latin Modern Math"/>
              </w:rPr>
              <m:t xml:space="preserve">K</m:t>
            </m:r>
          </m:den>
        </m:f>
      </m:oMath>
      <w:r>
        <w:rPr/>
        <w:t xml:space="preserve">, T has K and </w:t>
      </w:r>
      <m:oMath>
        <m:r>
          <m:rPr>
            <m:nor m:val="1"/>
            <m:sty m:val="p"/>
          </m:rPr>
          <w:rPr>
            <w:rFonts w:ascii="Latin Modern Math" w:hAnsi="Latin Modern Math"/>
          </w:rPr>
          <m:t xml:space="preserve">ln 2</m:t>
        </m:r>
      </m:oMath>
      <w:r>
        <w:rPr/>
        <w:t xml:space="preserve"> is dimensionless. Mean heat is the relevant quantity in the familiar statistical reset statement. The limiting ideal reset in the text uses equal intrastate entropies, unchanged endpoint energetics, an unbiased initial bit, an initially uncorrelated thermal reservoir, and no correlated side information used.</w:t>
      </w:r>
    </w:p>
    <w:p>
      <w:pPr/>
      <w:r>
        <w:rPr/>
        <w:t xml:space="preserve">If one assumes the original's </w:t>
      </w:r>
      <m:oMath>
        <m:r>
          <m:rPr>
            <m:nor m:val="1"/>
            <m:sty m:val="p"/>
          </m:rPr>
          <w:rPr>
            <w:rFonts w:ascii="Latin Modern Math" w:hAnsi="Latin Modern Math"/>
          </w:rPr>
          <m:t xml:space="preserve">4.2 × </m:t>
        </m:r>
        <m:sSup>
          <m:e>
            <m:r>
              <m:rPr>
                <m:nor m:val="1"/>
                <m:sty m:val="p"/>
              </m:rPr>
              <w:rPr>
                <w:rFonts w:ascii="Latin Modern Math" w:hAnsi="Latin Modern Math"/>
              </w:rPr>
              <m:t xml:space="preserve">10</m:t>
            </m:r>
          </m:e>
          <m:sup>
            <m:r>
              <m:rPr>
                <m:nor m:val="1"/>
                <m:sty m:val="p"/>
              </m:rPr>
              <w:rPr>
                <w:rFonts w:ascii="Latin Modern Math" w:hAnsi="Latin Modern Math"/>
              </w:rPr>
              <m:t xml:space="preserve">−21</m:t>
            </m:r>
          </m:sup>
        </m:sSup>
        <m:r>
          <m:rPr>
            <m:nor m:val="1"/>
            <m:sty m:val="p"/>
          </m:rPr>
          <w:rPr>
            <w:rFonts w:ascii="Latin Modern Math" w:hAnsi="Latin Modern Math"/>
          </w:rPr>
          <m:t xml:space="preserve"> J</m:t>
        </m:r>
      </m:oMath>
      <w:r>
        <w:rPr/>
        <w:t xml:space="preserve"> and 300 K, the ratio is approximately 1.463, or 46.3 percent above the reference, not 44 percent with these stated inputs. This arithmetic does not adjudicate an experimental central value or substitute for Hong's uncertainty and actuation boundary. The proposed body therefore uses the paper's qualified consistency result and omits a spuriously exact percentage. [I16]</w:t>
      </w:r>
    </w:p>
    <w:p>
      <w:pPr/>
      <w:r>
        <w:rPr/>
        <w:t xml:space="preserve">In an ideal isothermal reversible reset, the memory's thermodynamic entropy change is </w:t>
      </w:r>
      <m:oMath>
        <m:r>
          <m:rPr>
            <m:sty m:val="i"/>
          </m:rPr>
          <w:rPr>
            <w:rFonts w:ascii="Latin Modern Math" w:hAnsi="Latin Modern Math"/>
          </w:rPr>
          <m:t xml:space="preserve">−</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xml:space="preserve"> and bath entropy change is </w:t>
      </w:r>
      <m:oMath>
        <m:r>
          <m:rPr>
            <m:sty m:val="i"/>
          </m:rPr>
          <w:rPr>
            <w:rFonts w:ascii="Latin Modern Math" w:hAnsi="Latin Modern Math"/>
          </w:rPr>
          <m:t xml:space="preserve">+</m:t>
        </m:r>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Their sum tends to zero. A positive heat transfer is therefore not by itself positive total entropy production. Exact saturation and perfectly pure reset are limiting idealizations, particularly for a finite-temperature finite reservoir. [I12]</w:t>
      </w:r>
    </w:p>
    <w:p>
      <w:pPr>
        <w:pStyle w:val="Heading3"/>
      </w:pPr>
      <w:bookmarkStart w:id="418" w:name="v5_l898"/>
      <w:r>
        <w:rPr>
          <w:sz w:val="26"/>
        </w:rPr>
        <w:t>I-CALC-04 Reversible change in entanglement</w:t>
      </w:r>
      <w:bookmarkEnd w:id="418"/>
    </w:p>
    <w:p>
      <w:pPr/>
      <w:r>
        <w:rPr/>
        <w:t xml:space="preserve">Start with </w:t>
      </w:r>
      <m:oMath>
        <m:d>
          <m:dPr>
            <m:begChr m:val="|"/>
            <m:endChr m:val="⟩"/>
          </m:dPr>
          <m:e>
            <m:r>
              <m:rPr>
                <m:nor m:val="1"/>
                <m:sty m:val="p"/>
              </m:rPr>
              <w:rPr>
                <w:rFonts w:ascii="Latin Modern Math" w:hAnsi="Latin Modern Math"/>
              </w:rPr>
              <m:t xml:space="preserve">00</m:t>
            </m:r>
          </m:e>
        </m:d>
      </m:oMath>
      <w:r>
        <w:rPr/>
        <w:t xml:space="preserve">. Apply a Hadamard gate to the first qubit and a controlled-NOT to the second. The result is </w:t>
      </w:r>
      <m:oMath>
        <m:d>
          <m:dPr>
            <m:begChr m:val="|"/>
            <m:endChr m:val="⟩"/>
          </m:dPr>
          <m:e>
            <m:sSup>
              <m:e>
                <m:r>
                  <m:rPr>
                    <m:sty m:val="i"/>
                  </m:rPr>
                  <w:rPr>
                    <w:rFonts w:ascii="Latin Modern Math" w:hAnsi="Latin Modern Math"/>
                  </w:rPr>
                  <m:t xml:space="preserve">Φ</m:t>
                </m:r>
              </m:e>
              <m:sup>
                <m:r>
                  <m:rPr>
                    <m:nor m:val="1"/>
                    <m:sty m:val="p"/>
                  </m:rPr>
                  <w:rPr>
                    <w:rFonts w:ascii="Latin Modern Math" w:hAnsi="Latin Modern Math"/>
                  </w:rPr>
                  <m:t xml:space="preserve">+</m:t>
                </m:r>
              </m:sup>
            </m:sSup>
          </m:e>
        </m:d>
        <m:r>
          <m:rPr>
            <m:sty m:val="i"/>
          </m:rPr>
          <w:rPr>
            <w:rFonts w:ascii="Latin Modern Math" w:hAnsi="Latin Modern Math"/>
          </w:rPr>
          <m:t xml:space="preserve"> = </m:t>
        </m:r>
        <m:f>
          <m:num>
            <m:d>
              <m:dPr>
                <m:begChr m:val="("/>
                <m:endChr m:val=")"/>
              </m:dPr>
              <m:e>
                <m:d>
                  <m:dPr>
                    <m:begChr m:val="|"/>
                    <m:endChr m:val="⟩"/>
                  </m:dPr>
                  <m:e>
                    <m:r>
                      <m:rPr>
                        <m:nor m:val="1"/>
                        <m:sty m:val="p"/>
                      </m:rPr>
                      <w:rPr>
                        <w:rFonts w:ascii="Latin Modern Math" w:hAnsi="Latin Modern Math"/>
                      </w:rPr>
                      <m:t xml:space="preserve">00</m:t>
                    </m:r>
                  </m:e>
                </m:d>
                <m:r>
                  <m:rPr>
                    <m:sty m:val="i"/>
                  </m:rPr>
                  <w:rPr>
                    <w:rFonts w:ascii="Latin Modern Math" w:hAnsi="Latin Modern Math"/>
                  </w:rPr>
                  <m:t xml:space="preserve"> + </m:t>
                </m:r>
                <m:d>
                  <m:dPr>
                    <m:begChr m:val="|"/>
                    <m:endChr m:val="⟩"/>
                  </m:dPr>
                  <m:e>
                    <m:r>
                      <m:rPr>
                        <m:nor m:val="1"/>
                        <m:sty m:val="p"/>
                      </m:rPr>
                      <w:rPr>
                        <w:rFonts w:ascii="Latin Modern Math" w:hAnsi="Latin Modern Math"/>
                      </w:rPr>
                      <m:t xml:space="preserve">11</m:t>
                    </m:r>
                  </m:e>
                </m:d>
              </m:e>
            </m:d>
          </m:num>
          <m:den>
            <m:rad>
              <m:radPr>
                <m:degHide m:val="1"/>
              </m:radPr>
              <m:deg/>
              <m:e>
                <m:r>
                  <m:rPr>
                    <m:nor m:val="1"/>
                    <m:sty m:val="p"/>
                  </m:rPr>
                  <w:rPr>
                    <w:rFonts w:ascii="Latin Modern Math" w:hAnsi="Latin Modern Math"/>
                  </w:rPr>
                  <m:t xml:space="preserve">2</m:t>
                </m:r>
              </m:e>
            </m:rad>
          </m:den>
        </m:f>
      </m:oMath>
      <w:r>
        <w:rPr/>
        <w:t xml:space="preserve">. Both joint density operators have spectrum (1,0,0,0), so both have zero von Neumann entropy. Afterward each reduced density matrix is identity/2 and has entropy </w:t>
      </w:r>
      <m:oMath>
        <m:sSub>
          <m:e>
            <m:r>
              <m:rPr>
                <m:sty m:val="i"/>
              </m:rPr>
              <w:rPr>
                <w:rFonts w:ascii="Latin Modern Math" w:hAnsi="Latin Modern Math"/>
              </w:rPr>
              <m:t xml:space="preserve">k</m:t>
            </m:r>
          </m:e>
          <m:sub>
            <m:r>
              <m:rPr>
                <m:nor m:val="1"/>
                <m:sty m:val="p"/>
              </m:rPr>
              <w:rPr>
                <w:rFonts w:ascii="Latin Modern Math" w:hAnsi="Latin Modern Math"/>
              </w:rPr>
              <m:t xml:space="preserve">B</m:t>
            </m:r>
          </m:sub>
        </m:sSub>
        <m:r>
          <m:rPr>
            <m:nor m:val="1"/>
            <m:sty m:val="p"/>
          </m:rPr>
          <w:rPr>
            <w:rFonts w:ascii="Latin Modern Math" w:hAnsi="Latin Modern Math"/>
          </w:rPr>
          <m:t xml:space="preserve"> ln 2</m:t>
        </m:r>
      </m:oMath>
      <w:r>
        <w:rPr/>
        <w:t>. Applying the inverse two-gate sequence returns the original state.</w:t>
      </w:r>
    </w:p>
    <w:p>
      <w:pPr/>
      <w:r>
        <w:rPr/>
        <w:t>This algebra is a counterexample to identifying subsystem entanglement increase with an unavoidable global entropy increase. It makes no claim that a macroscopic measurement can practically be reversed at no cost or that laboratory gates are dissipationless.</w:t>
      </w:r>
    </w:p>
    <w:p>
      <w:pPr>
        <w:pStyle w:val="Heading3"/>
      </w:pPr>
      <w:bookmarkStart w:id="419" w:name="v5_l904"/>
      <w:r>
        <w:rPr>
          <w:sz w:val="26"/>
        </w:rPr>
        <w:t>I-CALC-05 Original neuromorphic arithmetic</w:t>
      </w:r>
      <w:bookmarkEnd w:id="419"/>
    </w:p>
    <w:p>
      <w:pPr/>
      <m:oMath>
        <m:r>
          <m:rPr>
            <m:nor m:val="1"/>
            <m:sty m:val="p"/>
          </m:rPr>
          <w:rPr>
            <w:rFonts w:ascii="Latin Modern Math" w:hAnsi="Latin Modern Math"/>
          </w:rPr>
          <m:t xml:space="preserve">1 pJ</m:t>
        </m:r>
        <m:r>
          <m:rPr>
            <m:sty m:val="i"/>
          </m:rPr>
          <w:rPr>
            <w:rFonts w:ascii="Latin Modern Math" w:hAnsi="Latin Modern Math"/>
          </w:rPr>
          <m:t xml:space="preserve"> = </m:t>
        </m:r>
        <m:sSup>
          <m:e>
            <m:r>
              <m:rPr>
                <m:nor m:val="1"/>
                <m:sty m:val="p"/>
              </m:rPr>
              <w:rPr>
                <w:rFonts w:ascii="Latin Modern Math" w:hAnsi="Latin Modern Math"/>
              </w:rPr>
              <m:t xml:space="preserve">10</m:t>
            </m:r>
          </m:e>
          <m:sup>
            <m:r>
              <m:rPr>
                <m:nor m:val="1"/>
                <m:sty m:val="p"/>
              </m:rPr>
              <w:rPr>
                <w:rFonts w:ascii="Latin Modern Math" w:hAnsi="Latin Modern Math"/>
              </w:rPr>
              <m:t xml:space="preserve">−12</m:t>
            </m:r>
          </m:sup>
        </m:sSup>
        <m:r>
          <m:rPr>
            <m:nor m:val="1"/>
            <m:sty m:val="p"/>
          </m:rPr>
          <w:rPr>
            <w:rFonts w:ascii="Latin Modern Math" w:hAnsi="Latin Modern Math"/>
          </w:rPr>
          <m:t xml:space="preserve"> J</m:t>
        </m:r>
      </m:oMath>
      <w:r>
        <w:rPr/>
        <w:t xml:space="preserve"> and </w:t>
      </w:r>
      <m:oMath>
        <m:r>
          <m:rPr>
            <m:nor m:val="1"/>
            <m:sty m:val="p"/>
          </m:rPr>
          <w:rPr>
            <w:rFonts w:ascii="Latin Modern Math" w:hAnsi="Latin Modern Math"/>
          </w:rPr>
          <m:t xml:space="preserve">1 fJ</m:t>
        </m:r>
        <m:r>
          <m:rPr>
            <m:sty m:val="i"/>
          </m:rPr>
          <w:rPr>
            <w:rFonts w:ascii="Latin Modern Math" w:hAnsi="Latin Modern Math"/>
          </w:rPr>
          <m:t xml:space="preserve"> = </m:t>
        </m:r>
        <m:sSup>
          <m:e>
            <m:r>
              <m:rPr>
                <m:nor m:val="1"/>
                <m:sty m:val="p"/>
              </m:rPr>
              <w:rPr>
                <w:rFonts w:ascii="Latin Modern Math" w:hAnsi="Latin Modern Math"/>
              </w:rPr>
              <m:t xml:space="preserve">10</m:t>
            </m:r>
          </m:e>
          <m:sup>
            <m:r>
              <m:rPr>
                <m:nor m:val="1"/>
                <m:sty m:val="p"/>
              </m:rPr>
              <w:rPr>
                <w:rFonts w:ascii="Latin Modern Math" w:hAnsi="Latin Modern Math"/>
              </w:rPr>
              <m:t xml:space="preserve">−15</m:t>
            </m:r>
          </m:sup>
        </m:sSup>
        <m:r>
          <m:rPr>
            <m:nor m:val="1"/>
            <m:sty m:val="p"/>
          </m:rPr>
          <w:rPr>
            <w:rFonts w:ascii="Latin Modern Math" w:hAnsi="Latin Modern Math"/>
          </w:rPr>
          <m:t xml:space="preserve"> J</m:t>
        </m:r>
      </m:oMath>
      <w:r>
        <w:rPr/>
        <w:t xml:space="preserve">. The minimum ratio implied by the supplied ranges is </w:t>
      </w:r>
      <m:oMath>
        <m:f>
          <m:num>
            <m:r>
              <m:rPr>
                <m:nor m:val="1"/>
                <m:sty m:val="p"/>
              </m:rPr>
              <w:rPr>
                <w:rFonts w:ascii="Latin Modern Math" w:hAnsi="Latin Modern Math"/>
              </w:rPr>
              <m:t xml:space="preserve">20 × </m:t>
            </m:r>
            <m:sSup>
              <m:e>
                <m:r>
                  <m:rPr>
                    <m:nor m:val="1"/>
                    <m:sty m:val="p"/>
                  </m:rPr>
                  <w:rPr>
                    <w:rFonts w:ascii="Latin Modern Math" w:hAnsi="Latin Modern Math"/>
                  </w:rPr>
                  <m:t xml:space="preserve">10</m:t>
                </m:r>
              </m:e>
              <m:sup>
                <m:r>
                  <m:rPr>
                    <m:nor m:val="1"/>
                    <m:sty m:val="p"/>
                  </m:rPr>
                  <w:rPr>
                    <w:rFonts w:ascii="Latin Modern Math" w:hAnsi="Latin Modern Math"/>
                  </w:rPr>
                  <m:t xml:space="preserve">−12</m:t>
                </m:r>
              </m:sup>
            </m:sSup>
          </m:num>
          <m:den>
            <m:r>
              <m:rPr>
                <m:nor m:val="1"/>
                <m:sty m:val="p"/>
              </m:rPr>
              <w:rPr>
                <w:rFonts w:ascii="Latin Modern Math" w:hAnsi="Latin Modern Math"/>
              </w:rPr>
              <m:t xml:space="preserve">10 × </m:t>
            </m:r>
            <m:sSup>
              <m:e>
                <m:r>
                  <m:rPr>
                    <m:nor m:val="1"/>
                    <m:sty m:val="p"/>
                  </m:rPr>
                  <w:rPr>
                    <w:rFonts w:ascii="Latin Modern Math" w:hAnsi="Latin Modern Math"/>
                  </w:rPr>
                  <m:t xml:space="preserve">10</m:t>
                </m:r>
              </m:e>
              <m:sup>
                <m:r>
                  <m:rPr>
                    <m:nor m:val="1"/>
                    <m:sty m:val="p"/>
                  </m:rPr>
                  <w:rPr>
                    <w:rFonts w:ascii="Latin Modern Math" w:hAnsi="Latin Modern Math"/>
                  </w:rPr>
                  <m:t xml:space="preserve">−15</m:t>
                </m:r>
              </m:sup>
            </m:sSup>
          </m:den>
        </m:f>
        <m:r>
          <m:rPr>
            <m:sty m:val="i"/>
          </m:rPr>
          <w:rPr>
            <w:rFonts w:ascii="Latin Modern Math" w:hAnsi="Latin Modern Math"/>
          </w:rPr>
          <m:t xml:space="preserve"> = </m:t>
        </m:r>
        <m:r>
          <m:rPr>
            <m:nor m:val="1"/>
            <m:sty m:val="p"/>
          </m:rPr>
          <w:rPr>
            <w:rFonts w:ascii="Latin Modern Math" w:hAnsi="Latin Modern Math"/>
          </w:rPr>
          <m:t xml:space="preserve">2,000</m:t>
        </m:r>
      </m:oMath>
      <w:r>
        <w:rPr/>
        <w:t xml:space="preserve">. The maximum is </w:t>
      </w:r>
      <m:oMath>
        <m:f>
          <m:num>
            <m:r>
              <m:rPr>
                <m:nor m:val="1"/>
                <m:sty m:val="p"/>
              </m:rPr>
              <w:rPr>
                <w:rFonts w:ascii="Latin Modern Math" w:hAnsi="Latin Modern Math"/>
              </w:rPr>
              <m:t xml:space="preserve">50 × </m:t>
            </m:r>
            <m:sSup>
              <m:e>
                <m:r>
                  <m:rPr>
                    <m:nor m:val="1"/>
                    <m:sty m:val="p"/>
                  </m:rPr>
                  <w:rPr>
                    <w:rFonts w:ascii="Latin Modern Math" w:hAnsi="Latin Modern Math"/>
                  </w:rPr>
                  <m:t xml:space="preserve">10</m:t>
                </m:r>
              </m:e>
              <m:sup>
                <m:r>
                  <m:rPr>
                    <m:nor m:val="1"/>
                    <m:sty m:val="p"/>
                  </m:rPr>
                  <w:rPr>
                    <w:rFonts w:ascii="Latin Modern Math" w:hAnsi="Latin Modern Math"/>
                  </w:rPr>
                  <m:t xml:space="preserve">−12</m:t>
                </m:r>
              </m:sup>
            </m:sSup>
          </m:num>
          <m:den>
            <m:r>
              <m:rPr>
                <m:nor m:val="1"/>
                <m:sty m:val="p"/>
              </m:rPr>
              <w:rPr>
                <w:rFonts w:ascii="Latin Modern Math" w:hAnsi="Latin Modern Math"/>
              </w:rPr>
              <m:t xml:space="preserve">1 × </m:t>
            </m:r>
            <m:sSup>
              <m:e>
                <m:r>
                  <m:rPr>
                    <m:nor m:val="1"/>
                    <m:sty m:val="p"/>
                  </m:rPr>
                  <w:rPr>
                    <w:rFonts w:ascii="Latin Modern Math" w:hAnsi="Latin Modern Math"/>
                  </w:rPr>
                  <m:t xml:space="preserve">10</m:t>
                </m:r>
              </m:e>
              <m:sup>
                <m:r>
                  <m:rPr>
                    <m:nor m:val="1"/>
                    <m:sty m:val="p"/>
                  </m:rPr>
                  <w:rPr>
                    <w:rFonts w:ascii="Latin Modern Math" w:hAnsi="Latin Modern Math"/>
                  </w:rPr>
                  <m:t xml:space="preserve">−15</m:t>
                </m:r>
              </m:sup>
            </m:sSup>
          </m:den>
        </m:f>
        <m:r>
          <m:rPr>
            <m:sty m:val="i"/>
          </m:rPr>
          <w:rPr>
            <w:rFonts w:ascii="Latin Modern Math" w:hAnsi="Latin Modern Math"/>
          </w:rPr>
          <m:t xml:space="preserve"> = </m:t>
        </m:r>
        <m:r>
          <m:rPr>
            <m:nor m:val="1"/>
            <m:sty m:val="p"/>
          </m:rPr>
          <w:rPr>
            <w:rFonts w:ascii="Latin Modern Math" w:hAnsi="Latin Modern Math"/>
          </w:rPr>
          <m:t xml:space="preserve">50,000</m:t>
        </m:r>
      </m:oMath>
      <w:r>
        <w:rPr/>
        <w:t>. The manuscript's 5–50 comparison is dimensionally/numerically wrong. Neither endpoint establishes a common event, complete energy accounting, or comparable performance. No repaired biological advantage is derived.</w:t>
      </w:r>
    </w:p>
    <w:p>
      <w:pPr/>
      <w:r>
        <w:rPr/>
        <w:t xml:space="preserve">The separate ratios </w:t>
      </w:r>
      <m:oMath>
        <m:f>
          <m:num>
            <m:sSup>
              <m:e>
                <m:r>
                  <m:rPr>
                    <m:nor m:val="1"/>
                    <m:sty m:val="p"/>
                  </m:rPr>
                  <w:rPr>
                    <w:rFonts w:ascii="Latin Modern Math" w:hAnsi="Latin Modern Math"/>
                  </w:rPr>
                  <m:t xml:space="preserve">10</m:t>
                </m:r>
              </m:e>
              <m:sup>
                <m:r>
                  <m:rPr>
                    <m:nor m:val="1"/>
                    <m:sty m:val="p"/>
                  </m:rPr>
                  <w:rPr>
                    <w:rFonts w:ascii="Latin Modern Math" w:hAnsi="Latin Modern Math"/>
                  </w:rPr>
                  <m:t xml:space="preserve">9</m:t>
                </m:r>
              </m:sup>
            </m:sSup>
          </m:num>
          <m:den>
            <m:sSup>
              <m:e>
                <m:r>
                  <m:rPr>
                    <m:nor m:val="1"/>
                    <m:sty m:val="p"/>
                  </m:rPr>
                  <w:rPr>
                    <w:rFonts w:ascii="Latin Modern Math" w:hAnsi="Latin Modern Math"/>
                  </w:rPr>
                  <m:t xml:space="preserve">10</m:t>
                </m:r>
              </m:e>
              <m:sup>
                <m:r>
                  <m:rPr>
                    <m:nor m:val="1"/>
                    <m:sty m:val="p"/>
                  </m:rPr>
                  <w:rPr>
                    <w:rFonts w:ascii="Latin Modern Math" w:hAnsi="Latin Modern Math"/>
                  </w:rPr>
                  <m:t xml:space="preserve">6</m:t>
                </m:r>
              </m:sup>
            </m:sSup>
          </m:den>
        </m:f>
        <m:r>
          <m:rPr>
            <m:sty m:val="i"/>
          </m:rPr>
          <w:rPr>
            <w:rFonts w:ascii="Latin Modern Math" w:hAnsi="Latin Modern Math"/>
          </w:rPr>
          <m:t xml:space="preserve"> = </m:t>
        </m:r>
        <m:r>
          <m:rPr>
            <m:nor m:val="1"/>
            <m:sty m:val="p"/>
          </m:rPr>
          <w:rPr>
            <w:rFonts w:ascii="Latin Modern Math" w:hAnsi="Latin Modern Math"/>
          </w:rPr>
          <m:t xml:space="preserve">1,000</m:t>
        </m:r>
      </m:oMath>
      <w:r>
        <w:rPr/>
        <w:t xml:space="preserve"> and </w:t>
      </w:r>
      <m:oMath>
        <m:f>
          <m:num>
            <m:sSup>
              <m:e>
                <m:r>
                  <m:rPr>
                    <m:nor m:val="1"/>
                    <m:sty m:val="p"/>
                  </m:rPr>
                  <w:rPr>
                    <w:rFonts w:ascii="Latin Modern Math" w:hAnsi="Latin Modern Math"/>
                  </w:rPr>
                  <m:t xml:space="preserve">10</m:t>
                </m:r>
              </m:e>
              <m:sup>
                <m:r>
                  <m:rPr>
                    <m:nor m:val="1"/>
                    <m:sty m:val="p"/>
                  </m:rPr>
                  <w:rPr>
                    <w:rFonts w:ascii="Latin Modern Math" w:hAnsi="Latin Modern Math"/>
                  </w:rPr>
                  <m:t xml:space="preserve">7</m:t>
                </m:r>
              </m:sup>
            </m:sSup>
          </m:num>
          <m:den>
            <m:sSup>
              <m:e>
                <m:r>
                  <m:rPr>
                    <m:nor m:val="1"/>
                    <m:sty m:val="p"/>
                  </m:rPr>
                  <w:rPr>
                    <w:rFonts w:ascii="Latin Modern Math" w:hAnsi="Latin Modern Math"/>
                  </w:rPr>
                  <m:t xml:space="preserve">10</m:t>
                </m:r>
              </m:e>
              <m:sup>
                <m:r>
                  <m:rPr>
                    <m:nor m:val="1"/>
                    <m:sty m:val="p"/>
                  </m:rPr>
                  <w:rPr>
                    <w:rFonts w:ascii="Latin Modern Math" w:hAnsi="Latin Modern Math"/>
                  </w:rPr>
                  <m:t xml:space="preserve">6</m:t>
                </m:r>
              </m:sup>
            </m:sSup>
          </m:den>
        </m:f>
        <m:r>
          <m:rPr>
            <m:sty m:val="i"/>
          </m:rPr>
          <w:rPr>
            <w:rFonts w:ascii="Latin Modern Math" w:hAnsi="Latin Modern Math"/>
          </w:rPr>
          <m:t xml:space="preserve"> = </m:t>
        </m:r>
        <m:r>
          <m:rPr>
            <m:nor m:val="1"/>
            <m:sty m:val="p"/>
          </m:rPr>
          <w:rPr>
            <w:rFonts w:ascii="Latin Modern Math" w:hAnsi="Latin Modern Math"/>
          </w:rPr>
          <m:t xml:space="preserve">10</m:t>
        </m:r>
      </m:oMath>
      <w:r>
        <w:rPr/>
        <w:t xml:space="preserve"> are arithmetically correct but scientifically unsupported as universal substrate constants. Arithmetic validity cannot repair those premises, so the proposed ranking and convergence projection remain withdrawn.</w:t>
      </w:r>
    </w:p>
    <w:p>
      <w:pPr>
        <w:pStyle w:val="Heading3"/>
      </w:pPr>
      <w:bookmarkStart w:id="420" w:name="v5_l910"/>
      <w:r>
        <w:rPr>
          <w:sz w:val="26"/>
        </w:rPr>
        <w:t>I-CALC-06 Reversible embedding of an output filter</w:t>
      </w:r>
      <w:bookmarkEnd w:id="420"/>
    </w:p>
    <w:p>
      <w:pPr/>
      <w:r>
        <w:rPr/>
        <w:t xml:space="preserve">For an n-bit input x and an m-bit function value f(x), define </w:t>
      </w:r>
      <m:oMath>
        <m:r>
          <m:rPr>
            <m:sty m:val="i"/>
          </m:rPr>
          <w:rPr>
            <w:rFonts w:ascii="Latin Modern Math" w:hAnsi="Latin Modern Math"/>
          </w:rPr>
          <m:t xml:space="preserve">F</m:t>
        </m:r>
        <m:d>
          <m:dPr>
            <m:begChr m:val="("/>
            <m:endChr m:val=")"/>
          </m:dPr>
          <m:e>
            <m:r>
              <m:rPr>
                <m:sty m:val="i"/>
              </m:rPr>
              <w:rPr>
                <w:rFonts w:ascii="Latin Modern Math" w:hAnsi="Latin Modern Math"/>
              </w:rPr>
              <m:t xml:space="preserve">x,y</m:t>
            </m:r>
          </m:e>
        </m:d>
        <m:r>
          <m:rPr>
            <m:sty m:val="i"/>
          </m:rPr>
          <w:rPr>
            <w:rFonts w:ascii="Latin Modern Math" w:hAnsi="Latin Modern Math"/>
          </w:rPr>
          <m:t xml:space="preserve"> = </m:t>
        </m:r>
        <m:d>
          <m:dPr>
            <m:begChr m:val="("/>
            <m:endChr m:val=")"/>
          </m:dPr>
          <m:e>
            <m:r>
              <m:rPr>
                <m:sty m:val="i"/>
              </m:rPr>
              <w:rPr>
                <w:rFonts w:ascii="Latin Modern Math" w:hAnsi="Latin Modern Math"/>
              </w:rPr>
              <m:t xml:space="preserve">x, y ⊕ f</m:t>
            </m:r>
            <m:d>
              <m:dPr>
                <m:begChr m:val="("/>
                <m:endChr m:val=")"/>
              </m:dPr>
              <m:e>
                <m:r>
                  <m:rPr>
                    <m:sty m:val="i"/>
                  </m:rPr>
                  <w:rPr>
                    <w:rFonts w:ascii="Latin Modern Math" w:hAnsi="Latin Modern Math"/>
                  </w:rPr>
                  <m:t xml:space="preserve">x</m:t>
                </m:r>
              </m:e>
            </m:d>
          </m:e>
        </m:d>
      </m:oMath>
      <w:r>
        <w:rPr/>
        <w:t xml:space="preserve">, where y is m bits and ⊕ is bitwise exclusive OR. Then </w:t>
      </w:r>
      <m:oMath>
        <m:r>
          <m:rPr>
            <m:sty m:val="i"/>
          </m:rPr>
          <w:rPr>
            <w:rFonts w:ascii="Latin Modern Math" w:hAnsi="Latin Modern Math"/>
          </w:rPr>
          <m:t xml:space="preserve">F</m:t>
        </m:r>
        <m:d>
          <m:dPr>
            <m:begChr m:val="("/>
            <m:endChr m:val=")"/>
          </m:dPr>
          <m:e>
            <m:r>
              <m:rPr>
                <m:sty m:val="i"/>
              </m:rPr>
              <w:rPr>
                <w:rFonts w:ascii="Latin Modern Math" w:hAnsi="Latin Modern Math"/>
              </w:rPr>
              <m:t xml:space="preserve">F</m:t>
            </m:r>
            <m:d>
              <m:dPr>
                <m:begChr m:val="("/>
                <m:endChr m:val=")"/>
              </m:dPr>
              <m:e>
                <m:r>
                  <m:rPr>
                    <m:sty m:val="i"/>
                  </m:rPr>
                  <w:rPr>
                    <w:rFonts w:ascii="Latin Modern Math" w:hAnsi="Latin Modern Math"/>
                  </w:rPr>
                  <m:t xml:space="preserve">x,y</m:t>
                </m:r>
              </m:e>
            </m:d>
          </m:e>
        </m:d>
        <m:r>
          <m:rPr>
            <m:sty m:val="i"/>
          </m:rPr>
          <w:rPr>
            <w:rFonts w:ascii="Latin Modern Math" w:hAnsi="Latin Modern Math"/>
          </w:rPr>
          <m:t xml:space="preserve"> = </m:t>
        </m:r>
        <m:d>
          <m:dPr>
            <m:begChr m:val="("/>
            <m:endChr m:val=")"/>
          </m:dPr>
          <m:e>
            <m:r>
              <m:rPr>
                <m:sty m:val="i"/>
              </m:rPr>
              <w:rPr>
                <w:rFonts w:ascii="Latin Modern Math" w:hAnsi="Latin Modern Math"/>
              </w:rPr>
              <m:t xml:space="preserve">x, y ⊕ f</m:t>
            </m:r>
            <m:d>
              <m:dPr>
                <m:begChr m:val="("/>
                <m:endChr m:val=")"/>
              </m:dPr>
              <m:e>
                <m:r>
                  <m:rPr>
                    <m:sty m:val="i"/>
                  </m:rPr>
                  <w:rPr>
                    <w:rFonts w:ascii="Latin Modern Math" w:hAnsi="Latin Modern Math"/>
                  </w:rPr>
                  <m:t xml:space="preserve">x</m:t>
                </m:r>
              </m:e>
            </m:d>
            <m:r>
              <m:rPr>
                <m:sty m:val="i"/>
              </m:rPr>
              <w:rPr>
                <w:rFonts w:ascii="Latin Modern Math" w:hAnsi="Latin Modern Math"/>
              </w:rPr>
              <m:t xml:space="preserve"> ⊕ f</m:t>
            </m:r>
            <m:d>
              <m:dPr>
                <m:begChr m:val="("/>
                <m:endChr m:val=")"/>
              </m:dPr>
              <m:e>
                <m:r>
                  <m:rPr>
                    <m:sty m:val="i"/>
                  </m:rPr>
                  <w:rPr>
                    <w:rFonts w:ascii="Latin Modern Math" w:hAnsi="Latin Modern Math"/>
                  </w:rPr>
                  <m:t xml:space="preserve">x</m:t>
                </m:r>
              </m:e>
            </m:d>
          </m:e>
        </m:d>
        <m:r>
          <m:rPr>
            <m:sty m:val="i"/>
          </m:rPr>
          <w:rPr>
            <w:rFonts w:ascii="Latin Modern Math" w:hAnsi="Latin Modern Math"/>
          </w:rPr>
          <m:t xml:space="preserve"> = </m:t>
        </m:r>
        <m:d>
          <m:dPr>
            <m:begChr m:val="("/>
            <m:endChr m:val=")"/>
          </m:dPr>
          <m:e>
            <m:r>
              <m:rPr>
                <m:sty m:val="i"/>
              </m:rPr>
              <w:rPr>
                <w:rFonts w:ascii="Latin Modern Math" w:hAnsi="Latin Modern Math"/>
              </w:rPr>
              <m:t xml:space="preserve">x,y</m:t>
            </m:r>
          </m:e>
        </m:d>
      </m:oMath>
      <w:r>
        <w:rPr/>
        <w:t>. F is its own inverse. With y initially zero, the output register contains f(x), while x remains available. For the two-input-bit AND example with a one-bit auxiliary register, direct enumeration of all eight input states confirms the inverse relation.</w:t>
      </w:r>
    </w:p>
    <w:p>
      <w:pPr/>
      <w:r>
        <w:rPr/>
        <w:t>This construction establishes logical reversibility of an embedding, not zero total physical cost. Initialization, storage, speed, control, readout, reliability, uncomputation and reuse must be included in a physical implementation. It defeats the inference from “output filtering” alone to mandatory erasure of the full input at each framework stage. [I13]</w:t>
      </w:r>
    </w:p>
    <w:sectPr w:rsidR="00FC693F" w:rsidRPr="0006063C" w:rsidSect="00034616">
      <w:footerReference w:type="default" r:id="rId9"/>
      <w:pgSz w:w="12240" w:h="15840"/>
      <w:pgMar w:top="1267" w:right="1440" w:bottom="1181" w:left="1440"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80"/>
    </w:pPr>
    <w:rPr>
      <w:rFonts w:ascii="Liberation Serif" w:hAnsi="Liberation Serif" w:eastAsia="Liberation Serif" w:cs="Liberation Serif"/>
      <w:b w:val="0"/>
      <w:i w:val="0"/>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220" w:line="247" w:lineRule="auto"/>
      <w:outlineLvl w:val="0"/>
    </w:pPr>
    <w:rPr>
      <w:rFonts w:ascii="Liberation Serif" w:hAnsi="Liberation Serif" w:eastAsia="Liberation Serif" w:cs="Liberation Serif"/>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line="247" w:lineRule="auto"/>
      <w:outlineLvl w:val="1"/>
    </w:pPr>
    <w:rPr>
      <w:rFonts w:ascii="Liberation Serif" w:hAnsi="Liberation Serif" w:eastAsia="Liberation Serif" w:cs="Liberation Serif"/>
      <w:b/>
      <w:bCs/>
      <w:i w:val="0"/>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7" w:lineRule="auto"/>
      <w:outlineLvl w:val="2"/>
    </w:pPr>
    <w:rPr>
      <w:rFonts w:ascii="Liberation Serif" w:hAnsi="Liberation Serif" w:eastAsia="Liberation Serif" w:cs="Liberation Serif"/>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180" w:after="100" w:line="247" w:lineRule="auto"/>
      <w:outlineLvl w:val="3"/>
    </w:pPr>
    <w:rPr>
      <w:rFonts w:ascii="Liberation Serif" w:hAnsi="Liberation Serif" w:eastAsia="Liberation Serif" w:cs="Liberation Serif"/>
      <w:b/>
      <w:bCs/>
      <w:i w:val="0"/>
      <w:iCs/>
      <w:color w:val="000000"/>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360" w:line="247" w:lineRule="auto" w:before="2000"/>
      <w:contextualSpacing/>
      <w:jc w:val="center"/>
    </w:pPr>
    <w:rPr>
      <w:rFonts w:ascii="Liberation Serif" w:hAnsi="Liberation Serif" w:eastAsia="Liberation Serif" w:cs="Liberation Serif"/>
      <w:b/>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360" w:line="247" w:lineRule="auto"/>
      <w:jc w:val="center"/>
    </w:pPr>
    <w:rPr>
      <w:rFonts w:ascii="Liberation Serif" w:hAnsi="Liberation Serif" w:eastAsia="Liberation Serif" w:cs="Liberation Serif"/>
      <w:b w:val="0"/>
      <w:i w:val="0"/>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contextualSpacing/>
    </w:pPr>
    <w:rPr>
      <w:rFonts w:ascii="Liberation Serif" w:hAnsi="Liberation Serif" w:eastAsia="Liberation Serif" w:cs="Liberation Serif"/>
      <w:b w:val="0"/>
      <w:i w:val="0"/>
      <w:color w:val="000000"/>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Metadata">
    <w:name w:val="Book Metadata"/>
    <w:basedOn w:val="Normal"/>
    <w:pPr>
      <w:keepLines w:val="0"/>
      <w:spacing w:after="160" w:line="252" w:lineRule="auto"/>
      <w:jc w:val="center"/>
    </w:pPr>
    <w:rPr>
      <w:rFonts w:ascii="Liberation Serif" w:hAnsi="Liberation Serif" w:eastAsia="Liberation Serif" w:cs="Liberation Serif"/>
      <w:b w:val="0"/>
      <w:i w:val="0"/>
      <w:color w:val="000000"/>
      <w:sz w:val="23"/>
    </w:rPr>
  </w:style>
  <w:style w:type="paragraph" w:customStyle="1" w:styleId="Reference">
    <w:name w:val="Reference"/>
    <w:basedOn w:val="Normal"/>
    <w:pPr>
      <w:keepLines/>
      <w:spacing w:after="140" w:line="252" w:lineRule="auto"/>
      <w:ind w:left="259" w:hanging="259"/>
    </w:pPr>
    <w:rPr>
      <w:rFonts w:ascii="Liberation Serif" w:hAnsi="Liberation Serif" w:eastAsia="Liberation Serif" w:cs="Liberation Serif"/>
      <w:b w:val="0"/>
      <w:i w:val="0"/>
      <w:color w:val="000000"/>
      <w:sz w:val="21"/>
    </w:rPr>
  </w:style>
  <w:style w:type="paragraph" w:customStyle="1" w:styleId="BookTable">
    <w:name w:val="Book Table"/>
    <w:basedOn w:val="Normal"/>
    <w:pPr>
      <w:keepLines/>
      <w:spacing w:after="0" w:line="252" w:lineRule="auto"/>
    </w:pPr>
    <w:rPr>
      <w:rFonts w:ascii="Liberation Serif" w:hAnsi="Liberation Serif" w:eastAsia="Liberation Serif" w:cs="Liberation Serif"/>
      <w:b w:val="0"/>
      <w:i w:val="0"/>
      <w:color w:val="000000"/>
      <w:sz w:val="21"/>
    </w:rPr>
  </w:style>
  <w:style w:type="paragraph" w:customStyle="1" w:styleId="ContentsEntry">
    <w:name w:val="Contents Entry"/>
    <w:basedOn w:val="Normal"/>
    <w:pPr>
      <w:keepLines/>
      <w:tabs>
        <w:tab w:pos="9360" w:val="right" w:leader="dot"/>
      </w:tabs>
      <w:spacing w:after="100" w:line="252" w:lineRule="auto"/>
    </w:pPr>
    <w:rPr>
      <w:rFonts w:ascii="Liberation Serif" w:hAnsi="Liberation Serif" w:eastAsia="Liberation Serif" w:cs="Liberation Serif"/>
      <w:b w:val="0"/>
      <w:i w:val="0"/>
      <w:color w:val="000000"/>
      <w:sz w:val="23"/>
    </w:rPr>
  </w:style>
  <w:style w:type="paragraph" w:customStyle="1" w:styleId="ContentsVolume">
    <w:name w:val="Contents Volume"/>
    <w:basedOn w:val="Normal"/>
    <w:pPr>
      <w:keepLines/>
      <w:tabs>
        <w:tab w:pos="9360" w:val="right" w:leader="dot"/>
      </w:tabs>
      <w:spacing w:after="160" w:line="252" w:lineRule="auto"/>
    </w:pPr>
    <w:rPr>
      <w:rFonts w:ascii="Liberation Serif" w:hAnsi="Liberation Serif" w:eastAsia="Liberation Serif" w:cs="Liberation Serif"/>
      <w:b/>
      <w:i w:val="0"/>
      <w:color w:val="000000"/>
      <w:sz w:val="24"/>
    </w:rPr>
  </w:style>
  <w:style w:type="paragraph" w:customStyle="1" w:styleId="Equation">
    <w:name w:val="Equation"/>
    <w:basedOn w:val="Normal"/>
    <w:pPr>
      <w:keepLines/>
      <w:spacing w:after="180" w:line="252" w:lineRule="auto" w:before="100"/>
      <w:jc w:val="center"/>
    </w:pPr>
    <w:rPr>
      <w:rFonts w:ascii="Liberation Serif" w:hAnsi="Liberation Serif" w:eastAsia="Liberation Serif" w:cs="Liberation Serif"/>
      <w:b w:val="0"/>
      <w:i w:val="0"/>
      <w:color w:val="000000"/>
      <w:sz w:val="23"/>
    </w:rPr>
  </w:style>
  <w:style w:type="paragraph" w:customStyle="1" w:styleId="BookFooter">
    <w:name w:val="Book Footer"/>
    <w:basedOn w:val="Normal"/>
    <w:pPr>
      <w:keepLines w:val="0"/>
      <w:spacing w:after="0" w:line="252" w:lineRule="auto"/>
    </w:pPr>
    <w:rPr>
      <w:rFonts w:ascii="Liberation Serif" w:hAnsi="Liberation Serif" w:eastAsia="Liberation Serif" w:cs="Liberation Serif"/>
      <w:b w:val="0"/>
      <w:i w:val="0"/>
      <w:color w:val="000000"/>
      <w:sz w:val="18"/>
    </w:rPr>
  </w:style>
  <w:style w:type="character" w:customStyle="1" w:styleId="SourceLiteral">
    <w:name w:val="Source Literal"/>
    <w:rPr>
      <w:rFonts w:ascii="Liberation Serif" w:hAnsi="Liberation Seri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reativecommons.org/licenses/by-nc-sa/4.0/" TargetMode="External"/><Relationship Id="rId11" Type="http://schemas.openxmlformats.org/officeDocument/2006/relationships/hyperlink" Target="https://suposystem.ai/entropy-volumes/" TargetMode="External"/><Relationship Id="rId12" Type="http://schemas.openxmlformats.org/officeDocument/2006/relationships/hyperlink" Target="https://suposystem.ai/entropy-volumes/volume-1-the-entropy-token-substrate/" TargetMode="External"/><Relationship Id="rId13" Type="http://schemas.openxmlformats.org/officeDocument/2006/relationships/hyperlink" Target="https://arxiv.org/abs/hep-th/0410270" TargetMode="External"/><Relationship Id="rId14" Type="http://schemas.openxmlformats.org/officeDocument/2006/relationships/hyperlink" Target="https://arxiv.org/abs/0909.3983" TargetMode="External"/><Relationship Id="rId15" Type="http://schemas.openxmlformats.org/officeDocument/2006/relationships/hyperlink" Target="https://arxiv.org/abs/cond-mat/0503686" TargetMode="External"/><Relationship Id="rId16" Type="http://schemas.openxmlformats.org/officeDocument/2006/relationships/hyperlink" Target="https://ilm-perso.univ-lyon1.fr/~aberut/articles/nature10872.pdf" TargetMode="External"/><Relationship Id="rId17" Type="http://schemas.openxmlformats.org/officeDocument/2006/relationships/hyperlink" Target="https://www.nist.gov/si-redefinition/kelvin/kelvin-boltzmann-constant" TargetMode="External"/><Relationship Id="rId18" Type="http://schemas.openxmlformats.org/officeDocument/2006/relationships/hyperlink" Target="https://arxiv.org/abs/1412.6490" TargetMode="External"/><Relationship Id="rId19" Type="http://schemas.openxmlformats.org/officeDocument/2006/relationships/hyperlink" Target="https://arxiv.org/abs/1803.10424" TargetMode="External"/><Relationship Id="rId20" Type="http://schemas.openxmlformats.org/officeDocument/2006/relationships/hyperlink" Target="https://www.nature.com/articles/s41567-025-02930-9" TargetMode="External"/><Relationship Id="rId21" Type="http://schemas.openxmlformats.org/officeDocument/2006/relationships/hyperlink" Target="https://www.cs.princeton.edu/courses/archive/fall04/cos576/papers/bennett73.html" TargetMode="External"/><Relationship Id="rId22" Type="http://schemas.openxmlformats.org/officeDocument/2006/relationships/hyperlink" Target="https://doi.org/10.1147/rd.53.0183" TargetMode="External"/><Relationship Id="rId23" Type="http://schemas.openxmlformats.org/officeDocument/2006/relationships/hyperlink" Target="https://philpapers.org/archive/DANOMD.pdf" TargetMode="External"/><Relationship Id="rId24" Type="http://schemas.openxmlformats.org/officeDocument/2006/relationships/hyperlink" Target="https://www.princeton.edu/~wbialek/our_papers/laughlin%2Bal_98.pdf" TargetMode="External"/><Relationship Id="rId25" Type="http://schemas.openxmlformats.org/officeDocument/2006/relationships/hyperlink" Target="https://discovery.ucl.ac.uk/1368741/1/1368741.pdf" TargetMode="External"/><Relationship Id="rId26" Type="http://schemas.openxmlformats.org/officeDocument/2006/relationships/hyperlink" Target="https://arxiv.org/abs/cond-mat/9610209" TargetMode="External"/><Relationship Id="rId27" Type="http://schemas.openxmlformats.org/officeDocument/2006/relationships/hyperlink" Target="https://lweb.cfa.harvard.edu/~ejchaisson/reprints/EnergyRateDensity_I_FINAL_2011.pdf" TargetMode="External"/><Relationship Id="rId28" Type="http://schemas.openxmlformats.org/officeDocument/2006/relationships/hyperlink" Target="https://artemyk.github.io/assets/pdf/papers/Kolchinsky_Wolpert_2018_Semantic%20information,%20autonomous%20agency%20and%20non-equilibrium%20statistical%20physics.pdf" TargetMode="External"/><Relationship Id="rId29" Type="http://schemas.openxmlformats.org/officeDocument/2006/relationships/hyperlink" Target="https://onlinelibrary.wiley.com/doi/10.1155/2014/384912" TargetMode="External"/><Relationship Id="rId30" Type="http://schemas.openxmlformats.org/officeDocument/2006/relationships/hyperlink" Target="https://doi.org/10.1147/rd.176.0525" TargetMode="External"/><Relationship Id="rId31" Type="http://schemas.openxmlformats.org/officeDocument/2006/relationships/hyperlink" Target="https://www.cs.princeton.edu/courses/archive/fall06/cos576/papers/bennett73.html" TargetMode="External"/><Relationship Id="rId32" Type="http://schemas.openxmlformats.org/officeDocument/2006/relationships/hyperlink" Target="https://doi.org/10.1038/nature10872" TargetMode="External"/><Relationship Id="rId33" Type="http://schemas.openxmlformats.org/officeDocument/2006/relationships/hyperlink" Target="https://doi.org/10.1002/hbm.24573" TargetMode="External"/><Relationship Id="rId34" Type="http://schemas.openxmlformats.org/officeDocument/2006/relationships/hyperlink" Target="https://pmc.ncbi.nlm.nih.gov/articles/PMC6865797/" TargetMode="External"/><Relationship Id="rId35" Type="http://schemas.openxmlformats.org/officeDocument/2006/relationships/hyperlink" Target="https://arxiv.org/abs/physics/0004057" TargetMode="External"/><Relationship Id="rId36" Type="http://schemas.openxmlformats.org/officeDocument/2006/relationships/hyperlink" Target="https://doi.org/10.1098/rsfs.2018.0041" TargetMode="External"/><Relationship Id="rId37" Type="http://schemas.openxmlformats.org/officeDocument/2006/relationships/hyperlink" Target="https://arxiv.org/abs/1806.08053" TargetMode="External"/><Relationship Id="rId38" Type="http://schemas.openxmlformats.org/officeDocument/2006/relationships/hyperlink" Target="https://doi.org/10.1038/236" TargetMode="External"/><Relationship Id="rId39" Type="http://schemas.openxmlformats.org/officeDocument/2006/relationships/hyperlink" Target="https://doi.org/10.1016/j.neuron.2012.08.019" TargetMode="External"/><Relationship Id="rId40" Type="http://schemas.openxmlformats.org/officeDocument/2006/relationships/hyperlink" Target="https://discovery.ucl.ac.uk/id/eprint/1368741/1/1368741.pdf" TargetMode="External"/><Relationship Id="rId41" Type="http://schemas.openxmlformats.org/officeDocument/2006/relationships/hyperlink" Target="https://doi.org/10.1111/1751-7915.13378" TargetMode="External"/><Relationship Id="rId42" Type="http://schemas.openxmlformats.org/officeDocument/2006/relationships/hyperlink" Target="https://doi.org/10.1073/pnas.2008173118" TargetMode="External"/><Relationship Id="rId43" Type="http://schemas.openxmlformats.org/officeDocument/2006/relationships/hyperlink" Target="https://pmc.ncbi.nlm.nih.gov/articles/PMC8106317/" TargetMode="External"/><Relationship Id="rId44" Type="http://schemas.openxmlformats.org/officeDocument/2006/relationships/hyperlink" Target="https://doi.org/10.1103/PhysRevLett.78.2690" TargetMode="External"/><Relationship Id="rId45" Type="http://schemas.openxmlformats.org/officeDocument/2006/relationships/hyperlink" Target="https://doi.org/10.1103/PhysRevE.60.2721" TargetMode="External"/><Relationship Id="rId46" Type="http://schemas.openxmlformats.org/officeDocument/2006/relationships/hyperlink" Target="https://arxiv.org/abs/cond-mat/9901352" TargetMode="External"/><Relationship Id="rId47" Type="http://schemas.openxmlformats.org/officeDocument/2006/relationships/hyperlink" Target="https://doi.org/10.1103/RevModPhys.75.715" TargetMode="External"/><Relationship Id="rId48" Type="http://schemas.openxmlformats.org/officeDocument/2006/relationships/hyperlink" Target="https://arxiv.org/abs/quant-ph/0105127" TargetMode="External"/><Relationship Id="rId49" Type="http://schemas.openxmlformats.org/officeDocument/2006/relationships/hyperlink" Target="https://doi.org/10.1002/j.1538-7305.1948.tb01338.x" TargetMode="External"/><Relationship Id="rId50" Type="http://schemas.openxmlformats.org/officeDocument/2006/relationships/hyperlink" Target="https://web.mit.edu/6.976/www/handout/shannon.pdf" TargetMode="External"/><Relationship Id="rId51" Type="http://schemas.openxmlformats.org/officeDocument/2006/relationships/hyperlink" Target="https://doi.org/10.1103/PhysRevLett.95.040602" TargetMode="External"/><Relationship Id="rId52" Type="http://schemas.openxmlformats.org/officeDocument/2006/relationships/hyperlink" Target="https://arxiv.org/html/cond-mat/0503686v1" TargetMode="External"/><Relationship Id="rId53" Type="http://schemas.openxmlformats.org/officeDocument/2006/relationships/hyperlink" Target="https://www.cpt.univ-mrs.fr/~verga/pdfs/Landauer-1961uq.pdf" TargetMode="External"/><Relationship Id="rId54" Type="http://schemas.openxmlformats.org/officeDocument/2006/relationships/hyperlink" Target="https://arxiv.org/html/1806.08053v3" TargetMode="External"/><Relationship Id="rId55" Type="http://schemas.openxmlformats.org/officeDocument/2006/relationships/hyperlink" Target="https://doi.org/10.1016/j.psyneuen.2011.08.009" TargetMode="External"/><Relationship Id="rId56" Type="http://schemas.openxmlformats.org/officeDocument/2006/relationships/hyperlink" Target="https://pmc.ncbi.nlm.nih.gov/articles/PMC3258306/" TargetMode="External"/><Relationship Id="rId57" Type="http://schemas.openxmlformats.org/officeDocument/2006/relationships/hyperlink" Target="https://doi.org/10.1002/cpp.2697" TargetMode="External"/><Relationship Id="rId58" Type="http://schemas.openxmlformats.org/officeDocument/2006/relationships/hyperlink" Target="https://onlinelibrary.wiley.com/doi/full/10.1002/cpp.2697" TargetMode="External"/><Relationship Id="rId59" Type="http://schemas.openxmlformats.org/officeDocument/2006/relationships/hyperlink" Target="https://consc.net/papers/facing.html" TargetMode="External"/><Relationship Id="rId60" Type="http://schemas.openxmlformats.org/officeDocument/2006/relationships/hyperlink" Target="https://suposystem.ai/entropy-volumes/volume-2-the-biological-cost-architecture/" TargetMode="External"/><Relationship Id="rId61" Type="http://schemas.openxmlformats.org/officeDocument/2006/relationships/hyperlink" Target="https://doi.org/10.1016/j.cmet.2017.06.021" TargetMode="External"/><Relationship Id="rId62" Type="http://schemas.openxmlformats.org/officeDocument/2006/relationships/hyperlink" Target="https://pmc.ncbi.nlm.nih.gov/articles/PMC5559896/" TargetMode="External"/><Relationship Id="rId63" Type="http://schemas.openxmlformats.org/officeDocument/2006/relationships/hyperlink" Target="https://doi.org/10.1126/science.aaz5891" TargetMode="External"/><Relationship Id="rId64" Type="http://schemas.openxmlformats.org/officeDocument/2006/relationships/hyperlink" Target="https://pmc.ncbi.nlm.nih.gov/articles/PMC7430502/" TargetMode="External"/><Relationship Id="rId65" Type="http://schemas.openxmlformats.org/officeDocument/2006/relationships/hyperlink" Target="https://doi.org/10.1038/35084005" TargetMode="External"/><Relationship Id="rId66" Type="http://schemas.openxmlformats.org/officeDocument/2006/relationships/hyperlink" Target="https://doi.org/10.1126/science.6267699" TargetMode="External"/><Relationship Id="rId67" Type="http://schemas.openxmlformats.org/officeDocument/2006/relationships/hyperlink" Target="https://pubmed.ncbi.nlm.nih.gov/6267699/" TargetMode="External"/><Relationship Id="rId68" Type="http://schemas.openxmlformats.org/officeDocument/2006/relationships/hyperlink" Target="https://doi.org/10.1159/000119004" TargetMode="External"/><Relationship Id="rId69" Type="http://schemas.openxmlformats.org/officeDocument/2006/relationships/hyperlink" Target="https://pubmed.ncbi.nlm.nih.gov/8255414/" TargetMode="External"/><Relationship Id="rId70" Type="http://schemas.openxmlformats.org/officeDocument/2006/relationships/hyperlink" Target="https://doi.org/10.1073/pnas.1118355109" TargetMode="External"/><Relationship Id="rId71" Type="http://schemas.openxmlformats.org/officeDocument/2006/relationships/hyperlink" Target="https://pmc.ncbi.nlm.nih.gov/articles/PMC3341031/" TargetMode="External"/><Relationship Id="rId72" Type="http://schemas.openxmlformats.org/officeDocument/2006/relationships/hyperlink" Target="https://doi.org/10.1186/1742-4933-11-13" TargetMode="External"/><Relationship Id="rId73" Type="http://schemas.openxmlformats.org/officeDocument/2006/relationships/hyperlink" Target="https://doi.org/10.1073/pnas.0407162101" TargetMode="External"/><Relationship Id="rId74" Type="http://schemas.openxmlformats.org/officeDocument/2006/relationships/hyperlink" Target="https://pmc.ncbi.nlm.nih.gov/articles/PMC534658/" TargetMode="External"/><Relationship Id="rId75" Type="http://schemas.openxmlformats.org/officeDocument/2006/relationships/hyperlink" Target="https://doi.org/10.1161/01.CIR.90.2.878" TargetMode="External"/><Relationship Id="rId76" Type="http://schemas.openxmlformats.org/officeDocument/2006/relationships/hyperlink" Target="https://pubmed.ncbi.nlm.nih.gov/8044959/" TargetMode="External"/><Relationship Id="rId77" Type="http://schemas.openxmlformats.org/officeDocument/2006/relationships/hyperlink" Target="https://doi.org/10.1093/brain/120.9.1603" TargetMode="External"/><Relationship Id="rId78" Type="http://schemas.openxmlformats.org/officeDocument/2006/relationships/hyperlink" Target="https://pubmed.ncbi.nlm.nih.gov/9313643/" TargetMode="External"/><Relationship Id="rId79" Type="http://schemas.openxmlformats.org/officeDocument/2006/relationships/hyperlink" Target="https://doi.org/10.1038/nn1176" TargetMode="External"/><Relationship Id="rId80" Type="http://schemas.openxmlformats.org/officeDocument/2006/relationships/hyperlink" Target="https://doi.org/10.1016/S0140-6736(77)92780-5" TargetMode="External"/><Relationship Id="rId81" Type="http://schemas.openxmlformats.org/officeDocument/2006/relationships/hyperlink" Target="https://pubmed.ncbi.nlm.nih.gov/67339/" TargetMode="External"/><Relationship Id="rId82" Type="http://schemas.openxmlformats.org/officeDocument/2006/relationships/hyperlink" Target="https://doi.org/10.1186/s13059-015-0828-5" TargetMode="External"/><Relationship Id="rId83" Type="http://schemas.openxmlformats.org/officeDocument/2006/relationships/hyperlink" Target="https://doi.org/10.1186/s13059-018-1441-1" TargetMode="External"/><Relationship Id="rId84" Type="http://schemas.openxmlformats.org/officeDocument/2006/relationships/hyperlink" Target="https://doi.org/10.1038/nn.3323" TargetMode="External"/><Relationship Id="rId85" Type="http://schemas.openxmlformats.org/officeDocument/2006/relationships/hyperlink" Target="https://pmc.ncbi.nlm.nih.gov/articles/PMC3739474/" TargetMode="External"/><Relationship Id="rId86" Type="http://schemas.openxmlformats.org/officeDocument/2006/relationships/hyperlink" Target="https://www.nist.gov/si-redefinition/kelvin/kelvin-present-realization" TargetMode="External"/><Relationship Id="rId87" Type="http://schemas.openxmlformats.org/officeDocument/2006/relationships/hyperlink" Target="https://doi.org/10.1098/rstb.1996.0125" TargetMode="External"/><Relationship Id="rId88" Type="http://schemas.openxmlformats.org/officeDocument/2006/relationships/hyperlink" Target="https://doi.org/10.1093/scan/nsw154" TargetMode="External"/><Relationship Id="rId89" Type="http://schemas.openxmlformats.org/officeDocument/2006/relationships/hyperlink" Target="https://www.ncbi.nlm.nih.gov/sites/books/NBK278995/" TargetMode="External"/><Relationship Id="rId90" Type="http://schemas.openxmlformats.org/officeDocument/2006/relationships/hyperlink" Target="https://doi.org/10.1002/jnr.24374" TargetMode="External"/><Relationship Id="rId91" Type="http://schemas.openxmlformats.org/officeDocument/2006/relationships/hyperlink" Target="https://doi.org/10.1002/wcs.1629" TargetMode="External"/><Relationship Id="rId92" Type="http://schemas.openxmlformats.org/officeDocument/2006/relationships/hyperlink" Target="https://doi.org/10.1111/jne.12887" TargetMode="External"/><Relationship Id="rId93" Type="http://schemas.openxmlformats.org/officeDocument/2006/relationships/hyperlink" Target="https://doi.org/10.1038/npp.2015.365" TargetMode="External"/><Relationship Id="rId94" Type="http://schemas.openxmlformats.org/officeDocument/2006/relationships/hyperlink" Target="https://projects.iq.harvard.edu/sites/projects.iq.harvard.edu/files/sdlab/files/mclaughlin_2016_maltreatment_fear_conditioning_npp.pdf" TargetMode="External"/><Relationship Id="rId95" Type="http://schemas.openxmlformats.org/officeDocument/2006/relationships/hyperlink" Target="https://doi.org/10.1017/S0033291724001569" TargetMode="External"/><Relationship Id="rId96" Type="http://schemas.openxmlformats.org/officeDocument/2006/relationships/hyperlink" Target="https://sdlab.fas.harvard.edu/sites/g/files/omnuum5291/files/alterations-in-fear-learning-as-a-mechanism-linking-childhood-exposure-to-violence-with-ptsd-symptoms-a-longitudinal-study.pdf" TargetMode="External"/><Relationship Id="rId97" Type="http://schemas.openxmlformats.org/officeDocument/2006/relationships/hyperlink" Target="https://doi.org/10.1038/427311a" TargetMode="External"/><Relationship Id="rId98" Type="http://schemas.openxmlformats.org/officeDocument/2006/relationships/hyperlink" Target="https://worrydream.com/refs/Bennett_1973_-_Logical_Reversibility_of_Computation.pdf" TargetMode="External"/><Relationship Id="rId99" Type="http://schemas.openxmlformats.org/officeDocument/2006/relationships/hyperlink" Target="https://teams.semel.ucla.edu/sites/default/files/publications/Sept%202012%20-%20Diurnal%20cortisol%20in%20Complicated.pdf" TargetMode="External"/><Relationship Id="rId100" Type="http://schemas.openxmlformats.org/officeDocument/2006/relationships/hyperlink" Target="https://doi.org/10.1016/j.amjcard.2012.06.045" TargetMode="External"/><Relationship Id="rId101" Type="http://schemas.openxmlformats.org/officeDocument/2006/relationships/hyperlink" Target="https://researchers.mq.edu.au/en/publications/effect-of-early-bereavement-on-heart-rate-and-heart-rate-variabil/" TargetMode="External"/><Relationship Id="rId102" Type="http://schemas.openxmlformats.org/officeDocument/2006/relationships/hyperlink" Target="https://www.sciencedirect.com/science/article/abs/pii/0889159187900110" TargetMode="External"/><Relationship Id="rId103" Type="http://schemas.openxmlformats.org/officeDocument/2006/relationships/hyperlink" Target="https://doi.org/10.1016/0889-1591(87)90011-0" TargetMode="External"/><Relationship Id="rId104" Type="http://schemas.openxmlformats.org/officeDocument/2006/relationships/hyperlink" Target="https://pubmed.ncbi.nlm.nih.gov/8292683/" TargetMode="External"/><Relationship Id="rId105" Type="http://schemas.openxmlformats.org/officeDocument/2006/relationships/hyperlink" Target="https://doi.org/10.1016/0006-3223(93)90068-o" TargetMode="External"/><Relationship Id="rId106" Type="http://schemas.openxmlformats.org/officeDocument/2006/relationships/hyperlink" Target="https://doi.org/10.2105/AJPH.2007.114348" TargetMode="External"/><Relationship Id="rId107" Type="http://schemas.openxmlformats.org/officeDocument/2006/relationships/hyperlink" Target="https://pmc.ncbi.nlm.nih.gov/articles/mid/NIHMS155475/" TargetMode="External"/><Relationship Id="rId108" Type="http://schemas.openxmlformats.org/officeDocument/2006/relationships/hyperlink" Target="https://onlinelibrary.wiley.com/doi/full/10.1002/hbm.25240" TargetMode="External"/><Relationship Id="rId109" Type="http://schemas.openxmlformats.org/officeDocument/2006/relationships/hyperlink" Target="https://pmc.ncbi.nlm.nih.gov/articles/PMC11069593/" TargetMode="External"/><Relationship Id="rId110" Type="http://schemas.openxmlformats.org/officeDocument/2006/relationships/hyperlink" Target="https://doi.org/10.1002/smi.3340" TargetMode="External"/><Relationship Id="rId111" Type="http://schemas.openxmlformats.org/officeDocument/2006/relationships/hyperlink" Target="https://pubmed.ncbi.nlm.nih.gov/31957171/" TargetMode="External"/><Relationship Id="rId112" Type="http://schemas.openxmlformats.org/officeDocument/2006/relationships/hyperlink" Target="https://doi.org/10.1002/pon.5333" TargetMode="External"/><Relationship Id="rId113" Type="http://schemas.openxmlformats.org/officeDocument/2006/relationships/hyperlink" Target="https://onlinelibrary.wiley.com/doi/full/10.1111/jne.12887" TargetMode="External"/><Relationship Id="rId114" Type="http://schemas.openxmlformats.org/officeDocument/2006/relationships/hyperlink" Target="https://onlinelibrary.wiley.com/doi/full/10.1111/ejop.12875" TargetMode="External"/><Relationship Id="rId115" Type="http://schemas.openxmlformats.org/officeDocument/2006/relationships/hyperlink" Target="https://www.sciencedirect.com/science/article/pii/S027273581300069X" TargetMode="External"/><Relationship Id="rId116" Type="http://schemas.openxmlformats.org/officeDocument/2006/relationships/hyperlink" Target="https://doi.org/10.1016/j.cpr.2013.05.001" TargetMode="External"/><Relationship Id="rId117" Type="http://schemas.openxmlformats.org/officeDocument/2006/relationships/hyperlink" Target="https://marco-dalai.unibs.it/teach/IT/shannon_1948.pdf" TargetMode="External"/><Relationship Id="rId118" Type="http://schemas.openxmlformats.org/officeDocument/2006/relationships/hyperlink" Target="https://www.sciencedirect.com/science/article/pii/0037785671900916" TargetMode="External"/><Relationship Id="rId119" Type="http://schemas.openxmlformats.org/officeDocument/2006/relationships/hyperlink" Target="https://doi.org/10.1016/0037-7856(71)90091-6" TargetMode="External"/><Relationship Id="rId120" Type="http://schemas.openxmlformats.org/officeDocument/2006/relationships/hyperlink" Target="https://academic.oup.com/book/10691" TargetMode="External"/><Relationship Id="rId121" Type="http://schemas.openxmlformats.org/officeDocument/2006/relationships/hyperlink" Target="https://academic.oup.com/book/10691/chapter-abstract/158744425" TargetMode="External"/><Relationship Id="rId122" Type="http://schemas.openxmlformats.org/officeDocument/2006/relationships/hyperlink" Target="https://suposystem.ai/entropy-volumes/volume-3-the-progression/" TargetMode="External"/><Relationship Id="rId123" Type="http://schemas.openxmlformats.org/officeDocument/2006/relationships/hyperlink" Target="https://doi.org/10.1155/2014/384912" TargetMode="External"/><Relationship Id="rId124" Type="http://schemas.openxmlformats.org/officeDocument/2006/relationships/hyperlink" Target="https://doi.org/10.3390/e17127857" TargetMode="External"/><Relationship Id="rId125" Type="http://schemas.openxmlformats.org/officeDocument/2006/relationships/hyperlink" Target="https://lweb.cfa.harvard.edu/~ejchaisson/reprints/entropy_2015_FINAL.pdf" TargetMode="External"/><Relationship Id="rId126" Type="http://schemas.openxmlformats.org/officeDocument/2006/relationships/hyperlink" Target="https://doi.org/10.1063/1.4818538" TargetMode="External"/><Relationship Id="rId127" Type="http://schemas.openxmlformats.org/officeDocument/2006/relationships/hyperlink" Target="https://www.englandlab.com/uploads/7/8/0/3/7803054/2013jcpsrep.pdf" TargetMode="External"/><Relationship Id="rId128" Type="http://schemas.openxmlformats.org/officeDocument/2006/relationships/hyperlink" Target="https://doi.org/10.1103/PhysRevX.6.021036" TargetMode="External"/><Relationship Id="rId129" Type="http://schemas.openxmlformats.org/officeDocument/2006/relationships/hyperlink" Target="https://robertvsiii.github.io/assets/repository/perunov2016statistical.pdf" TargetMode="External"/><Relationship Id="rId130" Type="http://schemas.openxmlformats.org/officeDocument/2006/relationships/hyperlink" Target="https://dspace.mit.edu/entities/publication/d7d6e50c-ac68-489e-b0df-a0588e9f0bba" TargetMode="External"/><Relationship Id="rId131" Type="http://schemas.openxmlformats.org/officeDocument/2006/relationships/hyperlink" Target="https://doi.org/10.1103/PhysRevLett.109.120604" TargetMode="External"/><Relationship Id="rId132" Type="http://schemas.openxmlformats.org/officeDocument/2006/relationships/hyperlink" Target="https://arxiv.org/pdf/1203.3271" TargetMode="External"/><Relationship Id="rId133" Type="http://schemas.openxmlformats.org/officeDocument/2006/relationships/hyperlink" Target="https://link.aps.org/accepted/10.1103/PhysRevLett.109.120604" TargetMode="External"/><Relationship Id="rId134" Type="http://schemas.openxmlformats.org/officeDocument/2006/relationships/hyperlink" Target="https://doi.org/10.1126/science.abc6182" TargetMode="External"/><Relationship Id="rId135" Type="http://schemas.openxmlformats.org/officeDocument/2006/relationships/hyperlink" Target="https://arxiv.org/html/2101.00683" TargetMode="External"/><Relationship Id="rId136" Type="http://schemas.openxmlformats.org/officeDocument/2006/relationships/hyperlink" Target="https://arxiv.org/pdf/2101.00683" TargetMode="External"/><Relationship Id="rId137" Type="http://schemas.openxmlformats.org/officeDocument/2006/relationships/hyperlink" Target="https://doi.org/10.3367/UFNe.2020.08.038819" TargetMode="External"/><Relationship Id="rId138" Type="http://schemas.openxmlformats.org/officeDocument/2006/relationships/hyperlink" Target="https://ufn.ru/ufn2021/ufn2021_6/ufn216b.pdf" TargetMode="External"/><Relationship Id="rId139" Type="http://schemas.openxmlformats.org/officeDocument/2006/relationships/hyperlink" Target="https://preposterousuniverse.com/blog/2014/02/03/reality-pushed-from-behind/" TargetMode="External"/><Relationship Id="rId140" Type="http://schemas.openxmlformats.org/officeDocument/2006/relationships/hyperlink" Target="https://arxiv.org/pdf/hep-th/0410270" TargetMode="External"/><Relationship Id="rId141" Type="http://schemas.openxmlformats.org/officeDocument/2006/relationships/hyperlink" Target="https://doi.org/10.1038/nature13702" TargetMode="External"/><Relationship Id="rId142" Type="http://schemas.openxmlformats.org/officeDocument/2006/relationships/hyperlink" Target="https://doi.org/10.1038/nature03219" TargetMode="External"/><Relationship Id="rId143" Type="http://schemas.openxmlformats.org/officeDocument/2006/relationships/hyperlink" Target="https://doi.org/10.1073/pnas.68.2.486" TargetMode="External"/><Relationship Id="rId144" Type="http://schemas.openxmlformats.org/officeDocument/2006/relationships/hyperlink" Target="https://pmc.ncbi.nlm.nih.gov/articles/PMC388966/" TargetMode="External"/><Relationship Id="rId145" Type="http://schemas.openxmlformats.org/officeDocument/2006/relationships/hyperlink" Target="https://doi.org/10.1086/312881" TargetMode="External"/><Relationship Id="rId146" Type="http://schemas.openxmlformats.org/officeDocument/2006/relationships/hyperlink" Target="https://citeseerx.ist.psu.edu/document?doi=0a66d2e5e82ce7c39a99c4d8b15d333f8d0f61a8&amp;repid=rep1&amp;type=pdf" TargetMode="External"/><Relationship Id="rId147" Type="http://schemas.openxmlformats.org/officeDocument/2006/relationships/hyperlink" Target="https://doi.org/10.3945/ajcn.2010.29885" TargetMode="External"/><Relationship Id="rId148" Type="http://schemas.openxmlformats.org/officeDocument/2006/relationships/hyperlink" Target="https://pmc.ncbi.nlm.nih.gov/articles/PMC2980962/" TargetMode="External"/><Relationship Id="rId149" Type="http://schemas.openxmlformats.org/officeDocument/2006/relationships/hyperlink" Target="https://www.iea.org/reports/energy-and-ai/energy-demand-from-ai" TargetMode="External"/><Relationship Id="rId150" Type="http://schemas.openxmlformats.org/officeDocument/2006/relationships/hyperlink" Target="https://doi.org/10.1523/JNEUROSCI.0113-09.2009" TargetMode="External"/><Relationship Id="rId151" Type="http://schemas.openxmlformats.org/officeDocument/2006/relationships/hyperlink" Target="https://pmc.ncbi.nlm.nih.gov/articles/PMC6665641/" TargetMode="External"/><Relationship Id="rId152" Type="http://schemas.openxmlformats.org/officeDocument/2006/relationships/hyperlink" Target="https://doi.org/10.1073/pnas.0803151105" TargetMode="External"/><Relationship Id="rId153" Type="http://schemas.openxmlformats.org/officeDocument/2006/relationships/hyperlink" Target="https://lenski.mmg.msu.edu/lenski/pdf/2008%2C%20PNAS%2C%20Blount%20et%20al.pdf" TargetMode="External"/><Relationship Id="rId154" Type="http://schemas.openxmlformats.org/officeDocument/2006/relationships/hyperlink" Target="https://doi.org/10.1126/science.177.4047.393" TargetMode="External"/><Relationship Id="rId155" Type="http://schemas.openxmlformats.org/officeDocument/2006/relationships/hyperlink" Target="https://aiichironakano.github.io/cs596/Anderson-MoreIsDifferent-Science72.pdf" TargetMode="External"/><Relationship Id="rId156" Type="http://schemas.openxmlformats.org/officeDocument/2006/relationships/hyperlink" Target="https://doi.org/10.1119/1.3119513" TargetMode="External"/><Relationship Id="rId157" Type="http://schemas.openxmlformats.org/officeDocument/2006/relationships/hyperlink" Target="https://arxiv.org/abs/0903.4603" TargetMode="External"/><Relationship Id="rId158" Type="http://schemas.openxmlformats.org/officeDocument/2006/relationships/hyperlink" Target="https://arxiv.org/pdf/0903.4603" TargetMode="External"/><Relationship Id="rId159" Type="http://schemas.openxmlformats.org/officeDocument/2006/relationships/hyperlink" Target="https://doi.org/10.71468/P1WC7Q" TargetMode="External"/><Relationship Id="rId160" Type="http://schemas.openxmlformats.org/officeDocument/2006/relationships/hyperlink" Target="https://eta-publications.lbl.gov/publications/2024-lbnl-data-center-energy-usage-report" TargetMode="External"/><Relationship Id="rId161" Type="http://schemas.openxmlformats.org/officeDocument/2006/relationships/hyperlink" Target="https://eta-publications.lbl.gov/sites/default/files/2024-12/lbnl-2024-united-states-data-center-energy-usage-report_1.pdf" TargetMode="External"/><Relationship Id="rId162" Type="http://schemas.openxmlformats.org/officeDocument/2006/relationships/hyperlink" Target="https://doi.org/10.1016/0028-3932(81)90005-1" TargetMode="External"/><Relationship Id="rId163" Type="http://schemas.openxmlformats.org/officeDocument/2006/relationships/hyperlink" Target="https://pubmed.ncbi.nlm.nih.gov/7312152/" TargetMode="External"/><Relationship Id="rId164" Type="http://schemas.openxmlformats.org/officeDocument/2006/relationships/hyperlink" Target="https://www.nobelprize.org/uploads/2018/06/prigogine-lecture.pdf" TargetMode="External"/><Relationship Id="rId165" Type="http://schemas.openxmlformats.org/officeDocument/2006/relationships/hyperlink" Target="https://doi.org/10.1126/science.201.4358.777" TargetMode="External"/><Relationship Id="rId166" Type="http://schemas.openxmlformats.org/officeDocument/2006/relationships/hyperlink" Target="https://pubmed.ncbi.nlm.nih.gov/17738519/" TargetMode="External"/><Relationship Id="rId167" Type="http://schemas.openxmlformats.org/officeDocument/2006/relationships/hyperlink" Target="https://studylib.net/doc/12894915/time--structure-and-fluctuations" TargetMode="External"/><Relationship Id="rId168" Type="http://schemas.openxmlformats.org/officeDocument/2006/relationships/hyperlink" Target="https://citeseerx.ist.psu.edu/document?doi=97e696fec2380e5013af475d2c16f79745ed6aa2&amp;repid=rep1&amp;type=pdf" TargetMode="External"/><Relationship Id="rId169" Type="http://schemas.openxmlformats.org/officeDocument/2006/relationships/hyperlink" Target="https://doi.org/10.1038/226727a0" TargetMode="External"/><Relationship Id="rId170" Type="http://schemas.openxmlformats.org/officeDocument/2006/relationships/hyperlink" Target="https://suposystem.ai/entropy-volumes/volume-4-the-substrate-gradient/" TargetMode="External"/><Relationship Id="rId171" Type="http://schemas.openxmlformats.org/officeDocument/2006/relationships/hyperlink" Target="https://pubmed.ncbi.nlm.nih.gov/39820302/" TargetMode="External"/><Relationship Id="rId172" Type="http://schemas.openxmlformats.org/officeDocument/2006/relationships/hyperlink" Target="https://pubmed.ncbi.nlm.nih.gov/29589592/" TargetMode="External"/><Relationship Id="rId173" Type="http://schemas.openxmlformats.org/officeDocument/2006/relationships/hyperlink" Target="https://doi.org/10.1038/s41562-024-02024-1" TargetMode="External"/><Relationship Id="rId174" Type="http://schemas.openxmlformats.org/officeDocument/2006/relationships/hyperlink" Target="https://arxiv.org/abs/2102.06273" TargetMode="External"/><Relationship Id="rId175" Type="http://schemas.openxmlformats.org/officeDocument/2006/relationships/hyperlink" Target="https://doi.org/10.1177/1745691614568352" TargetMode="External"/><Relationship Id="rId176" Type="http://schemas.openxmlformats.org/officeDocument/2006/relationships/hyperlink" Target="https://pubmed.ncbi.nlm.nih.gov/25910392/" TargetMode="External"/><Relationship Id="rId177" Type="http://schemas.openxmlformats.org/officeDocument/2006/relationships/hyperlink" Target="https://doi.org/10.1038/s41562-023-01617-6" TargetMode="External"/><Relationship Id="rId178" Type="http://schemas.openxmlformats.org/officeDocument/2006/relationships/hyperlink" Target="https://pubmed.ncbi.nlm.nih.gov/37337095/" TargetMode="External"/><Relationship Id="rId179" Type="http://schemas.openxmlformats.org/officeDocument/2006/relationships/hyperlink" Target="https://doi.org/10.1073/pnas.1411524111" TargetMode="External"/><Relationship Id="rId180" Type="http://schemas.openxmlformats.org/officeDocument/2006/relationships/hyperlink" Target="https://pmc.ncbi.nlm.nih.gov/articles/PMC4267345/" TargetMode="External"/><Relationship Id="rId181" Type="http://schemas.openxmlformats.org/officeDocument/2006/relationships/hyperlink" Target="https://doi.org/10.1103/PhysRevLett.114.158101" TargetMode="External"/><Relationship Id="rId182" Type="http://schemas.openxmlformats.org/officeDocument/2006/relationships/hyperlink" Target="https://arxiv.org/abs/1502.05944" TargetMode="External"/><Relationship Id="rId183" Type="http://schemas.openxmlformats.org/officeDocument/2006/relationships/hyperlink" Target="https://www.nature.com/articles/s41562-024-02024-1" TargetMode="External"/><Relationship Id="rId184" Type="http://schemas.openxmlformats.org/officeDocument/2006/relationships/hyperlink" Target="https://suposystem.ai/entropy-volumes/volume-5-the-cosmological-budget/" TargetMode="External"/><Relationship Id="rId185" Type="http://schemas.openxmlformats.org/officeDocument/2006/relationships/hyperlink" Target="https://arxiv.org/html/0909.3983v3" TargetMode="External"/><Relationship Id="rId186" Type="http://schemas.openxmlformats.org/officeDocument/2006/relationships/hyperlink" Target="https://arxiv.org/html/2412.11282v2" TargetMode="External"/><Relationship Id="rId187" Type="http://schemas.openxmlformats.org/officeDocument/2006/relationships/hyperlink" Target="https://doi.org/10.1088/1475-7516/2025/09/049" TargetMode="External"/><Relationship Id="rId188" Type="http://schemas.openxmlformats.org/officeDocument/2006/relationships/hyperlink" Target="https://arxiv.org/abs/2601.13621v1" TargetMode="External"/><Relationship Id="rId189" Type="http://schemas.openxmlformats.org/officeDocument/2006/relationships/hyperlink" Target="https://doi.org/10.1103/PhysRevD.23.287" TargetMode="External"/><Relationship Id="rId190" Type="http://schemas.openxmlformats.org/officeDocument/2006/relationships/hyperlink" Target="https://doi.org/10.1103/PhysRevD.7.2333" TargetMode="External"/><Relationship Id="rId191" Type="http://schemas.openxmlformats.org/officeDocument/2006/relationships/hyperlink" Target="https://doi.org/10.1007/BF02345020" TargetMode="External"/><Relationship Id="rId192" Type="http://schemas.openxmlformats.org/officeDocument/2006/relationships/hyperlink" Target="https://doi.org/10.1103/PhysRevD.15.2738" TargetMode="External"/><Relationship Id="rId193" Type="http://schemas.openxmlformats.org/officeDocument/2006/relationships/hyperlink" Target="https://arxiv.org/abs/hep-th/9905177" TargetMode="External"/><Relationship Id="rId194" Type="http://schemas.openxmlformats.org/officeDocument/2006/relationships/hyperlink" Target="https://arxiv.org/html/2206.10780v5" TargetMode="External"/><Relationship Id="rId195" Type="http://schemas.openxmlformats.org/officeDocument/2006/relationships/hyperlink" Target="https://arxiv.org/html/2009.12530v2" TargetMode="External"/><Relationship Id="rId196" Type="http://schemas.openxmlformats.org/officeDocument/2006/relationships/hyperlink" Target="https://arxiv.org/abs/2312.02292v16" TargetMode="External"/><Relationship Id="rId197" Type="http://schemas.openxmlformats.org/officeDocument/2006/relationships/hyperlink" Target="https://arxiv.org/abs/cond-mat/9901352v4" TargetMode="External"/><Relationship Id="rId198" Type="http://schemas.openxmlformats.org/officeDocument/2006/relationships/hyperlink" Target="https://arxiv.org/abs/1207.5832" TargetMode="External"/><Relationship Id="rId199" Type="http://schemas.openxmlformats.org/officeDocument/2006/relationships/hyperlink" Target="https://arxiv.org/abs/hep-th/0410270v1" TargetMode="External"/><Relationship Id="rId200" Type="http://schemas.openxmlformats.org/officeDocument/2006/relationships/hyperlink" Target="https://arxiv.org/html/2405.03418v1" TargetMode="External"/><Relationship Id="rId201" Type="http://schemas.openxmlformats.org/officeDocument/2006/relationships/hyperlink" Target="https://arxiv.org/abs/2211.03973v1" TargetMode="External"/><Relationship Id="rId202" Type="http://schemas.openxmlformats.org/officeDocument/2006/relationships/hyperlink" Target="https://arxiv.org/abs/0907.0659v1" TargetMode="External"/><Relationship Id="rId203" Type="http://schemas.openxmlformats.org/officeDocument/2006/relationships/hyperlink" Target="https://arxiv.org/html/1508.07161v1" TargetMode="External"/><Relationship Id="rId204" Type="http://schemas.openxmlformats.org/officeDocument/2006/relationships/hyperlink" Target="https://arxiv.org/abs/1807.06209v4" TargetMode="External"/><Relationship Id="rId205" Type="http://schemas.openxmlformats.org/officeDocument/2006/relationships/hyperlink" Target="https://doi.org/10.1093/mnras/168.2.399" TargetMode="External"/><Relationship Id="rId206" Type="http://schemas.openxmlformats.org/officeDocument/2006/relationships/hyperlink" Target="https://arxiv.org/abs/2404.03002v3" TargetMode="External"/><Relationship Id="rId207" Type="http://schemas.openxmlformats.org/officeDocument/2006/relationships/hyperlink" Target="https://arxiv.org/html/2503.14738v3" TargetMode="External"/><Relationship Id="rId208" Type="http://schemas.openxmlformats.org/officeDocument/2006/relationships/hyperlink" Target="https://arxiv.org/html/2607.27410v3" TargetMode="External"/><Relationship Id="rId209" Type="http://schemas.openxmlformats.org/officeDocument/2006/relationships/hyperlink" Target="https://www.desi.lbl.gov/2026/07/30/new-desi-dr2-lyman-alpha-results-shed-light-on-dark-energy/" TargetMode="External"/><Relationship Id="rId210" Type="http://schemas.openxmlformats.org/officeDocument/2006/relationships/hyperlink" Target="https://arxiv.org/abs/astro-ph/0310808v2" TargetMode="External"/><Relationship Id="rId211" Type="http://schemas.openxmlformats.org/officeDocument/2006/relationships/hyperlink" Target="https://arxiv.org/abs/astro-ph/0302506" TargetMode="External"/><Relationship Id="rId212" Type="http://schemas.openxmlformats.org/officeDocument/2006/relationships/hyperlink" Target="https://arxiv.org/abs/astro-ph/9701131" TargetMode="External"/><Relationship Id="rId213" Type="http://schemas.openxmlformats.org/officeDocument/2006/relationships/hyperlink" Target="https://arxiv.org/abs/1905.08762v3" TargetMode="External"/><Relationship Id="rId214" Type="http://schemas.openxmlformats.org/officeDocument/2006/relationships/hyperlink" Target="https://arxiv.org/abs/1905.08255v3" TargetMode="External"/><Relationship Id="rId215" Type="http://schemas.openxmlformats.org/officeDocument/2006/relationships/hyperlink" Target="https://arxiv.org/html/2407.08777v2" TargetMode="External"/><Relationship Id="rId216" Type="http://schemas.openxmlformats.org/officeDocument/2006/relationships/hyperlink" Target="https://arxiv.org/html/2407.15231v3" TargetMode="External"/><Relationship Id="rId217" Type="http://schemas.openxmlformats.org/officeDocument/2006/relationships/hyperlink" Target="https://arxiv.org/html/2409.05009v2" TargetMode="External"/><Relationship Id="rId218" Type="http://schemas.openxmlformats.org/officeDocument/2006/relationships/hyperlink" Target="https://arxiv.org/abs/1306.4352v3" TargetMode="External"/><Relationship Id="rId219" Type="http://schemas.openxmlformats.org/officeDocument/2006/relationships/hyperlink" Target="https://doi.org/10.1016/0370-2693(83)90637-8" TargetMode="External"/><Relationship Id="rId220" Type="http://schemas.openxmlformats.org/officeDocument/2006/relationships/hyperlink" Target="https://doi.org/10.1016/0550-3213(91)90438-4" TargetMode="External"/><Relationship Id="rId221" Type="http://schemas.openxmlformats.org/officeDocument/2006/relationships/hyperlink" Target="https://arxiv.org/abs/1911.12333v2" TargetMode="External"/><Relationship Id="rId222" Type="http://schemas.openxmlformats.org/officeDocument/2006/relationships/hyperlink" Target="https://projecteuclid.org/journals/communications-in-mathematical-physics/volume-43/issue-3/Particle-creation-by-black-holes/cmp/1103899181.pdf" TargetMode="External"/><Relationship Id="rId223" Type="http://schemas.openxmlformats.org/officeDocument/2006/relationships/hyperlink" Target="https://doi.org/10.1103/PhysRevLett.71.3743" TargetMode="External"/><Relationship Id="rId224" Type="http://schemas.openxmlformats.org/officeDocument/2006/relationships/hyperlink" Target="https://arxiv.org/abs/hep-th/9306083v2" TargetMode="External"/><Relationship Id="rId225" Type="http://schemas.openxmlformats.org/officeDocument/2006/relationships/hyperlink" Target="https://harvest.aps.org/v2/journals/articles/10.1103/PhysRevLett.71.3743/fulltext" TargetMode="External"/><Relationship Id="rId226" Type="http://schemas.openxmlformats.org/officeDocument/2006/relationships/hyperlink" Target="https://doi.org/10.1103/RevModPhys.93.035002" TargetMode="External"/><Relationship Id="rId227" Type="http://schemas.openxmlformats.org/officeDocument/2006/relationships/hyperlink" Target="https://arxiv.org/abs/2006.06872" TargetMode="External"/><Relationship Id="rId228" Type="http://schemas.openxmlformats.org/officeDocument/2006/relationships/hyperlink" Target="https://link.aps.org/accepted/10.1103/RevModPhys.93.035002" TargetMode="External"/><Relationship Id="rId229" Type="http://schemas.openxmlformats.org/officeDocument/2006/relationships/hyperlink" Target="https://doi.org/10.1088/1126-6708/2007/09/120" TargetMode="External"/><Relationship Id="rId230" Type="http://schemas.openxmlformats.org/officeDocument/2006/relationships/hyperlink" Target="https://arxiv.org/abs/0708.4025" TargetMode="External"/><Relationship Id="rId231" Type="http://schemas.openxmlformats.org/officeDocument/2006/relationships/hyperlink" Target="https://preskill.caltech.edu/pubs/preskill-2007-mirror.pdf" TargetMode="External"/><Relationship Id="rId232" Type="http://schemas.openxmlformats.org/officeDocument/2006/relationships/hyperlink" Target="https://arxiv.org/abs/1301.4504" TargetMode="External"/><Relationship Id="rId233" Type="http://schemas.openxmlformats.org/officeDocument/2006/relationships/hyperlink" Target="https://doi.org/10.1007/JHEP06(2013)085" TargetMode="External"/><Relationship Id="rId234" Type="http://schemas.openxmlformats.org/officeDocument/2006/relationships/hyperlink" Target="https://artemyk.github.io/assets/pdf/papers/Kolchinsky_Wolpert_2018_Semantic%20information%2C%20autonomous%20agency%20and%20non-equilibrium%20statistical%20physics.pdf" TargetMode="External"/><Relationship Id="rId235" Type="http://schemas.openxmlformats.org/officeDocument/2006/relationships/hyperlink" Target="https://doi.org/10.1038/nphys1202" TargetMode="External"/><Relationship Id="rId236" Type="http://schemas.openxmlformats.org/officeDocument/2006/relationships/hyperlink" Target="https://arxiv.org/abs/0903.5082" TargetMode="External"/><Relationship Id="rId237" Type="http://schemas.openxmlformats.org/officeDocument/2006/relationships/hyperlink" Target="https://doi.org/10.1126/sciadv.adx6857" TargetMode="External"/><Relationship Id="rId238" Type="http://schemas.openxmlformats.org/officeDocument/2006/relationships/hyperlink" Target="https://arxiv.org/html/2504.00781v2" TargetMode="External"/><Relationship Id="rId239" Type="http://schemas.openxmlformats.org/officeDocument/2006/relationships/hyperlink" Target="https://pubmed.ncbi.nlm.nih.gov/40749052/" TargetMode="External"/><Relationship Id="rId240" Type="http://schemas.openxmlformats.org/officeDocument/2006/relationships/hyperlink" Target="https://journals.aps.org/prd/abstract/10.1103/PhysRevD.23.287" TargetMode="External"/><Relationship Id="rId241" Type="http://schemas.openxmlformats.org/officeDocument/2006/relationships/hyperlink" Target="https://harvest.aps.org/v2/journals/articles/10.1103/PhysRevD.23.287/fulltext" TargetMode="External"/><Relationship Id="rId242" Type="http://schemas.openxmlformats.org/officeDocument/2006/relationships/hyperlink" Target="https://doi.org/10.22331/q-2025-03-20-1664" TargetMode="External"/><Relationship Id="rId243" Type="http://schemas.openxmlformats.org/officeDocument/2006/relationships/hyperlink" Target="https://arxiv.org/abs/2309.07436v3" TargetMode="External"/><Relationship Id="rId244" Type="http://schemas.openxmlformats.org/officeDocument/2006/relationships/hyperlink" Target="https://arxiv.org/html/2309.07436v3" TargetMode="External"/><Relationship Id="rId245" Type="http://schemas.openxmlformats.org/officeDocument/2006/relationships/hyperlink" Target="https://sites.pitt.edu/~jdnorton/lectures/Rotman_Summer_School_2013/thermo_computing_docs/Landauer_1961.pdf" TargetMode="External"/><Relationship Id="rId246" Type="http://schemas.openxmlformats.org/officeDocument/2006/relationships/hyperlink" Target="https://doi.org/10.1088/1367-2630/16/10/103011" TargetMode="External"/><Relationship Id="rId247" Type="http://schemas.openxmlformats.org/officeDocument/2006/relationships/hyperlink" Target="https://arxiv.org/html/1306.4352v3" TargetMode="External"/><Relationship Id="rId248" Type="http://schemas.openxmlformats.org/officeDocument/2006/relationships/hyperlink" Target="https://mediatum.ub.tum.de/doc/1653576/1653576.pdf" TargetMode="External"/><Relationship Id="rId249" Type="http://schemas.openxmlformats.org/officeDocument/2006/relationships/hyperlink" Target="https://arxiv.org/abs/physics/0210005" TargetMode="External"/><Relationship Id="rId250" Type="http://schemas.openxmlformats.org/officeDocument/2006/relationships/hyperlink" Target="https://doi.org/10.1016/S1355-2198(03)00039-X" TargetMode="External"/><Relationship Id="rId251" Type="http://schemas.openxmlformats.org/officeDocument/2006/relationships/hyperlink" Target="https://doi.org/10.1038/nature10123" TargetMode="External"/><Relationship Id="rId252" Type="http://schemas.openxmlformats.org/officeDocument/2006/relationships/hyperlink" Target="https://arxiv.org/abs/1009.1630" TargetMode="External"/><Relationship Id="rId253" Type="http://schemas.openxmlformats.org/officeDocument/2006/relationships/hyperlink" Target="https://www.nature.com/articles/nature10395" TargetMode="External"/><Relationship Id="rId254" Type="http://schemas.openxmlformats.org/officeDocument/2006/relationships/hyperlink" Target="https://www.nature.com/articles/nature10872" TargetMode="External"/><Relationship Id="rId255" Type="http://schemas.openxmlformats.org/officeDocument/2006/relationships/hyperlink" Target="https://doi.org/10.1126/sciadv.1501492" TargetMode="External"/><Relationship Id="rId256" Type="http://schemas.openxmlformats.org/officeDocument/2006/relationships/hyperlink" Target="https://pmc.ncbi.nlm.nih.gov/articles/PMC4795654/" TargetMode="External"/><Relationship Id="rId257" Type="http://schemas.openxmlformats.org/officeDocument/2006/relationships/hyperlink" Target="https://doi.org/10.1038/s41567-018-0070-7" TargetMode="External"/><Relationship Id="rId258" Type="http://schemas.openxmlformats.org/officeDocument/2006/relationships/hyperlink" Target="https://www.nature.com/articles/s41567-018-0070-7" TargetMode="External"/><Relationship Id="rId259" Type="http://schemas.openxmlformats.org/officeDocument/2006/relationships/hyperlink" Target="https://arxiv.org/abs/1703.04607" TargetMode="External"/><Relationship Id="rId260" Type="http://schemas.openxmlformats.org/officeDocument/2006/relationships/hyperlink" Target="https://www.nature.com/articles/s41567-018-0140-x.pdf" TargetMode="External"/><Relationship Id="rId261" Type="http://schemas.openxmlformats.org/officeDocument/2006/relationships/hyperlink" Target="https://doi.org/10.1038/s41567-025-02930-9" TargetMode="External"/><Relationship Id="rId262" Type="http://schemas.openxmlformats.org/officeDocument/2006/relationships/hyperlink" Target="https://arxiv.org/abs/2407.21690" TargetMode="External"/><Relationship Id="rId263" Type="http://schemas.openxmlformats.org/officeDocument/2006/relationships/hyperlink" Target="https://arxiv.org/abs/2407.08777v2" TargetMode="External"/><Relationship Id="rId264" Type="http://schemas.openxmlformats.org/officeDocument/2006/relationships/hyperlink" Target="https://doi.org/10.48550/arXiv.2407.08777" TargetMode="External"/><Relationship Id="rId265" Type="http://schemas.openxmlformats.org/officeDocument/2006/relationships/hyperlink" Target="https://arxiv.org/abs/2409.05009v2" TargetMode="External"/><Relationship Id="rId266" Type="http://schemas.openxmlformats.org/officeDocument/2006/relationships/hyperlink" Target="https://doi.org/10.1103/RevModPhys.29.454" TargetMode="External"/><Relationship Id="rId267" Type="http://schemas.openxmlformats.org/officeDocument/2006/relationships/hyperlink" Target="https://journals.aps.org/rmp/abstract/10.1103/RevModPhys.29.454" TargetMode="External"/><Relationship Id="rId268" Type="http://schemas.openxmlformats.org/officeDocument/2006/relationships/hyperlink" Target="https://quantmagic.narod.ru/Articles/Everett.pdf" TargetMode="External"/><Relationship Id="rId269" Type="http://schemas.openxmlformats.org/officeDocument/2006/relationships/hyperlink" Target="https://doi.org/10.1007/s10701-024-00785-3" TargetMode="External"/><Relationship Id="rId270" Type="http://schemas.openxmlformats.org/officeDocument/2006/relationships/hyperlink" Target="https://arxiv.org/abs/2405.03418" TargetMode="External"/><Relationship Id="rId271" Type="http://schemas.openxmlformats.org/officeDocument/2006/relationships/hyperlink" Target="https://philsci-archive.pitt.edu/23719/1/Al-Khalili_Chen_FoP%202024.pdf" TargetMode="External"/><Relationship Id="rId272" Type="http://schemas.openxmlformats.org/officeDocument/2006/relationships/hyperlink" Target="https://ora.ox.ac.uk/objects/uuid%3Aa6880196-34c7-47a0-80f1-74d32ab98788" TargetMode="External"/><Relationship Id="rId273" Type="http://schemas.openxmlformats.org/officeDocument/2006/relationships/hyperlink" Target="https://www.fhi.ox.ac.uk/reports/2008-3.pdf" TargetMode="External"/><Relationship Id="rId274" Type="http://schemas.openxmlformats.org/officeDocument/2006/relationships/hyperlink" Target="https://arxiv.org/abs/2503.18002v2" TargetMode="External"/><Relationship Id="rId275" Type="http://schemas.openxmlformats.org/officeDocument/2006/relationships/hyperlink" Target="https://arxiv.org/html/2503.18002v2" TargetMode="External"/><Relationship Id="rId276" Type="http://schemas.openxmlformats.org/officeDocument/2006/relationships/hyperlink" Target="https://newsroom.intel.com/artificial-intelligence/intel-builds-worlds-largest-neuromorphic-system-to-enable-more-sustainable-ai" TargetMode="External"/><Relationship Id="rId277" Type="http://schemas.openxmlformats.org/officeDocument/2006/relationships/hyperlink" Target="https://download.intel.com/newsroom/archive/2025/en-us-2024-04-17-intel-builds-worlds-largest-neuromorphic-system-to-enable-more-sustainable-ai.pdf" TargetMode="External"/><Relationship Id="rId278" Type="http://schemas.openxmlformats.org/officeDocument/2006/relationships/hyperlink" Target="https://www.sandia.gov/news/publications/hpc-annual-reports/article/advancing-neuromorphic-computing-at-the-neural-exploration-and-research-lab/" TargetMode="External"/><Relationship Id="rId279" Type="http://schemas.openxmlformats.org/officeDocument/2006/relationships/hyperlink" Target="https://www.sandia.gov/app/uploads/sites/81/2025/06/labnews_06-12-25.pdf" TargetMode="External"/><Relationship Id="rId280" Type="http://schemas.openxmlformats.org/officeDocument/2006/relationships/hyperlink" Target="https://doi.org/10.3390/e23060701" TargetMode="External"/><Relationship Id="rId281" Type="http://schemas.openxmlformats.org/officeDocument/2006/relationships/hyperlink" Target="https://arxiv.org/abs/2105.00065" TargetMode="External"/><Relationship Id="rId282" Type="http://schemas.openxmlformats.org/officeDocument/2006/relationships/hyperlink" Target="https://pmc.ncbi.nlm.nih.gov/articles/PMC8228632/" TargetMode="External"/><Relationship Id="rId283" Type="http://schemas.openxmlformats.org/officeDocument/2006/relationships/hyperlink" Target="https://www.sandia.gov/app/uploads/sites/210/2022/06/QFoCRC-OSTIv2.pdf" TargetMode="External"/><Relationship Id="rId284" Type="http://schemas.openxmlformats.org/officeDocument/2006/relationships/hyperlink" Target="https://doi.org/10.1371/journal.pbio.0020187" TargetMode="External"/><Relationship Id="rId285" Type="http://schemas.openxmlformats.org/officeDocument/2006/relationships/hyperlink" Target="https://journals.plos.org/plosbiology/article?id=10.1371/journal.pbio.0020187" TargetMode="External"/><Relationship Id="rId286" Type="http://schemas.openxmlformats.org/officeDocument/2006/relationships/hyperlink" Target="https://doi.org/10.1038/s43587-024-00702-3" TargetMode="External"/><Relationship Id="rId287" Type="http://schemas.openxmlformats.org/officeDocument/2006/relationships/hyperlink" Target="https://www.nature.com/articles/s43587-024-00702-3" TargetMode="External"/><Relationship Id="rId288" Type="http://schemas.openxmlformats.org/officeDocument/2006/relationships/hyperlink" Target="https://doi.org/10.1017/9781009552868" TargetMode="External"/><Relationship Id="rId289" Type="http://schemas.openxmlformats.org/officeDocument/2006/relationships/hyperlink" Target="https://www.cambridge.org/core/books/decoherence-and-quantum-darwinism/E851B8F658044E4BF549AAEEB7B47B37" TargetMode="External"/><Relationship Id="rId290" Type="http://schemas.openxmlformats.org/officeDocument/2006/relationships/hyperlink" Target="https://assets.cambridge.org/97810095/52905/frontmatter/9781009552905_frontmatter.pdf" TargetMode="External"/><Relationship Id="rId291" Type="http://schemas.openxmlformats.org/officeDocument/2006/relationships/hyperlink" Target="https://doi.org/10.1038/s41586-019-1241-0" TargetMode="External"/><Relationship Id="rId292" Type="http://schemas.openxmlformats.org/officeDocument/2006/relationships/hyperlink" Target="https://www.nature.com/articles/s41586-019-1241-0" TargetMode="External"/><Relationship Id="rId293" Type="http://schemas.openxmlformats.org/officeDocument/2006/relationships/hyperlink" Target="https://arxiv.org/abs/1809.00913" TargetMode="External"/><Relationship Id="rId294" Type="http://schemas.openxmlformats.org/officeDocument/2006/relationships/hyperlink" Target="https://doi.org/10.1007/BF01645742" TargetMode="External"/><Relationship Id="rId295" Type="http://schemas.openxmlformats.org/officeDocument/2006/relationships/hyperlink" Target="https://projecteuclid.org/journals/communications-in-mathematical-physics/volume-31/issue-2/The-four-laws-of-black-hole-mechanics/cmp/1103858973.pdf" TargetMode="External"/><Relationship Id="rId296" Type="http://schemas.openxmlformats.org/officeDocument/2006/relationships/hyperlink" Target="https://doi.org/10.1088/0034-4885/75/12/126001" TargetMode="External"/><Relationship Id="rId297" Type="http://schemas.openxmlformats.org/officeDocument/2006/relationships/hyperlink" Target="https://arxiv.org/abs/1205.4176" TargetMode="External"/><Relationship Id="rId298" Type="http://schemas.openxmlformats.org/officeDocument/2006/relationships/hyperlink" Target="https://terpconnect.umd.edu/~cjarzyns/CHEM-CHPH-PHYS_703_Spr_20/resources/Rep%20Prog%20Phys%202012%20Seifert.pdf" TargetMode="External"/><Relationship Id="rId299" Type="http://schemas.openxmlformats.org/officeDocument/2006/relationships/hyperlink" Target="https://arxiv.org/abs/2407.15231v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Entropy The Collected Volumes</dc:title>
  <dc:subject>Entropy second edition October 2026</dc:subject>
  <dc:creator>Michael S. Moniz</dc:creator>
  <cp:keywords>Entropy; Trinket Soul Framework; second edition</cp:keywords>
  <dc:description/>
  <cp:lastModifiedBy/>
  <cp:revision>1</cp:revision>
  <dcterms:created xsi:type="dcterms:W3CDTF">2013-12-23T23:15:00Z</dcterms:created>
  <dcterms:modified xsi:type="dcterms:W3CDTF">2013-12-23T23:15:00Z</dcterms:modified>
  <cp:category/>
</cp:coreProperties>
</file>