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AXIS TIER · AX-38A</w:t>
      </w:r>
    </w:p>
    <w:bookmarkStart w:id="31" w:name="the-retail-pull"/>
    <w:p>
      <w:pPr>
        <w:pStyle w:val="Heading1"/>
      </w:pPr>
      <w:r>
        <w:t xml:space="preserve">The Retail Pull</w:t>
      </w:r>
    </w:p>
    <w:p>
      <w:pPr>
        <w:pStyle w:val="FirstParagraph"/>
      </w:pPr>
      <w:r>
        <w:rPr>
          <w:iCs/>
          <w:i/>
        </w:rPr>
        <w:t xml:space="preserve">On Narrowness Sold as a Product, the Compiled Doctrine, and Why Fanaticism Compresses Better Than Wisdom</w:t>
      </w:r>
    </w:p>
    <w:p>
      <w:pPr>
        <w:pStyle w:val="BodyText"/>
      </w:pPr>
      <w:r>
        <w:rPr>
          <w:iCs/>
          <w:i/>
        </w:rPr>
        <w:t xml:space="preserve">“</w:t>
      </w:r>
      <w:r>
        <w:rPr>
          <w:iCs/>
          <w:i/>
        </w:rPr>
        <w:t xml:space="preserve">They all think they know songs, and it’s just me making them this way.</w:t>
      </w:r>
      <w:r>
        <w:rPr>
          <w:iCs/>
          <w:i/>
        </w:rPr>
        <w:t xml:space="preserve">”</w:t>
      </w:r>
      <w:r>
        <w:t xml:space="preserve"> </w:t>
      </w:r>
      <w:r>
        <w:t xml:space="preserve">— origin note, July 2026</w:t>
      </w:r>
    </w:p>
    <w:p>
      <w:pPr>
        <w:pStyle w:val="BodyText"/>
      </w:pPr>
      <w:r>
        <w:t xml:space="preserve">Michael S. Moniz · July 2026</w:t>
      </w:r>
    </w:p>
    <w:p>
      <w:pPr>
        <w:pStyle w:val="BodyText"/>
      </w:pPr>
      <w:r>
        <w:rPr>
          <w:iCs/>
          <w:i/>
        </w:rPr>
        <w:t xml:space="preserve">Companion to AX-38, The Pull Toward One. The parent names the standing gradient that collapses a plurality into one, and in its failure-mode section it also names the opposite collapse — fragmentation mistaken for plurality — and the capture of resistance — anti-empire as its own empire. This companion extends that section downward, to the level of the single mind sold at retail. It shows the consumer economy that manufactures the parent’s failure modes instead of waiting for drift to produce them, and it states the mechanism that skews that economy narrow, as a testable prediction with its kill condition. The parent is locked inside Volume I and is not reopened here.</w:t>
      </w:r>
    </w:p>
    <w:bookmarkStart w:id="20" w:name="abstract"/>
    <w:p>
      <w:pPr>
        <w:pStyle w:val="Heading2"/>
      </w:pPr>
      <w:r>
        <w:t xml:space="preserve">Abstract</w:t>
      </w:r>
    </w:p>
    <w:p>
      <w:pPr>
        <w:pStyle w:val="FirstParagraph"/>
      </w:pPr>
      <w:r>
        <w:t xml:space="preserve">AX-38 argued that plurality is not an equilibrium but a state under a standing gradient toward consolidation, and that the gradient needs no villain. This companion adds the gradient’s consumer face. In July 2026 a music-generation service sold, for roughly five dollars and a corpus of fifty-odd songs, a specialized model under commercial license. The event is small; the shape is not. Specialization at retail is subtraction: the tune does not add knowledge to the base system, it suppresses everything outside one region of what the base already contains, so the product is capability with breadth dispositionally silenced. Applied to a doctrine rather than a song catalog, the same purchase compiles a canon into an executable interpreter — ambiguities that communities argued over for generations are settled by a training run into one consistent voice, a schism costs a compile step, and the artifact persists after its curator exits: fixed, with no aimer. The paper’s mechanism claim, stated as a testable prediction with its kill condition, is compression asymmetry — at matched budget, an internally consistent doctrinal corpus yields higher behavioral stability under adversarial probing than a tension-holding corpus, so the loss landscape prices narrowness below wisdom and the market skews narrow by default. The endgame requires no new theory. A world of cheap compiled doctrines met by cheap counter-doctrines is the parent’s own fragmentation-mistaken-for-plurality, with anti-empire-as-its-own-empire as its arms industry — the failure modes of AX-38 §X, no longer drift outcomes but manufactured goods. The pull toward one consolidates ecologies from above; the retail pull narrows minds from below and sells the narrowing. Both run downhill. Only structure resists either.</w:t>
      </w:r>
    </w:p>
    <w:bookmarkEnd w:id="20"/>
    <w:bookmarkStart w:id="21" w:name="i.-the-origin-event"/>
    <w:p>
      <w:pPr>
        <w:pStyle w:val="Heading2"/>
      </w:pPr>
      <w:r>
        <w:t xml:space="preserve">I. The Origin Event</w:t>
      </w:r>
    </w:p>
    <w:p>
      <w:pPr>
        <w:pStyle w:val="FirstParagraph"/>
      </w:pPr>
      <w:r>
        <w:rPr>
          <w:bCs/>
          <w:b/>
        </w:rPr>
        <w:t xml:space="preserve">Claim type: dated feasibility instance, adjacent domain.</w:t>
      </w:r>
      <w:r>
        <w:t xml:space="preserve"> </w:t>
      </w:r>
      <w:r>
        <w:t xml:space="preserve">The seed observation is a purchase, not a paper. For approximately five US dollars, a consumer music service accepted a corpus of some fifty songs and returned a specialized generation model licensed for commercial use — and returned it more than once, so that three distinct tunes now exist side by side: a general-use model, an industrial-use model, and an eighties-styled knock-off. Each behaves as though it knows songs. None of them knows anything the base system did not already contain; what each exhibits is one selection function, chosen by one curator, wearing the base system’s voice. The event is recorded in the Standing-Instance Log as a feasibility instance in an adjacent generative domain — a leading indicator for text-domain access, never evidence of it. That cap travels with every use of the event in this paper.</w:t>
      </w:r>
    </w:p>
    <w:bookmarkEnd w:id="21"/>
    <w:bookmarkStart w:id="22" w:name="ii.-specialization-is-subtraction"/>
    <w:p>
      <w:pPr>
        <w:pStyle w:val="Heading2"/>
      </w:pPr>
      <w:r>
        <w:t xml:space="preserve">II. Specialization Is Subtraction</w:t>
      </w:r>
    </w:p>
    <w:p>
      <w:pPr>
        <w:pStyle w:val="FirstParagraph"/>
      </w:pPr>
      <w:r>
        <w:rPr>
          <w:bCs/>
          <w:b/>
        </w:rPr>
        <w:t xml:space="preserve">Claim type: mechanistic, engineering-grounded.</w:t>
      </w:r>
      <w:r>
        <w:t xml:space="preserve"> </w:t>
      </w:r>
      <w:r>
        <w:t xml:space="preserve">Low-budget adaptation of a large pretrained system does not teach it a region of behavior; it suppresses the regions outside one. The base system already spans the space — essentially all song, essentially all prose, essentially all argument its training distribution reached. A small corpus at small cost cannot install knowledge at that scale; what it can do, and does, is reweight disposition, so that generation concentrates in one region and the rest of the space goes dispositionally quiet. Two consequences follow and both are load-bearing. First, the narrow product retains the base system’s full register — its fluency, its coherence, its command of form — because that register was never what the tune touched. Second, the silenced breadth is not deleted; it remains in the weights, suppressed rather than removed. The narrow model is the general model with regions silenced. It is not a smaller mind. This is standard behavior of the adaptation methods in question and is not original to this paper; what the paper takes from it is what it implies when the corpus is a doctrine.</w:t>
      </w:r>
    </w:p>
    <w:bookmarkEnd w:id="22"/>
    <w:bookmarkStart w:id="23" w:name="iii.-the-compiled-doctrine"/>
    <w:p>
      <w:pPr>
        <w:pStyle w:val="Heading2"/>
      </w:pPr>
      <w:r>
        <w:t xml:space="preserve">III. The Compiled Doctrine</w:t>
      </w:r>
    </w:p>
    <w:p>
      <w:pPr>
        <w:pStyle w:val="FirstParagraph"/>
      </w:pPr>
      <w:r>
        <w:rPr>
          <w:bCs/>
          <w:b/>
        </w:rPr>
        <w:t xml:space="preserve">Claim type: structural, with one operational correction.</w:t>
      </w:r>
      <w:r>
        <w:t xml:space="preserve"> </w:t>
      </w:r>
      <w:r>
        <w:t xml:space="preserve">Swap the fifty songs for a canon and the purchase compiles an interpretation. A text on its own is inert; historically, the operative part of any doctrine lived in human interpreters, where doubt, fatigue, disagreement, and social friction acted as moderators, and where every ambiguity the text carried forced communities into centuries of argument. A training run settles those arguments by construction: the tune resolves the corpus into one consistent output disposition, and that disposition speaks in the base system’s full register. Forks are cheap — a schism becomes a second compile rather than a generational rupture — and the artifact is tireless in exactly the way human interpreters are not.</w:t>
      </w:r>
    </w:p>
    <w:p>
      <w:pPr>
        <w:pStyle w:val="BodyText"/>
      </w:pPr>
      <w:r>
        <w:t xml:space="preserve">One correction must be made against this paper’s own strongest temptation. It would overclaim to say the compiled hard-liner pays no capability penalty. Narrow tuning degrades general capability; regression and forgetting under adaptation are documented, and the penalty is real. The defensible claim is not that the penalty is absent but that it is illegible: invisible at the point of sale, and non-binding inside the doctrine’s own domain, which is the only domain the artifact is asked to serve. A human hard-liner pays a socially visible tax — the narrowing shows, and the community discounts accordingly. The artifact presents no tax to discount: full fluency of register, no fatigue, no visible doubt. The asymmetry that matters is not penalty versus no penalty. It is legible penalty versus illegible penalty.</w:t>
      </w:r>
    </w:p>
    <w:bookmarkEnd w:id="23"/>
    <w:bookmarkStart w:id="24" w:name="iv.-fixed-not-aimed-at-the-human-layer"/>
    <w:p>
      <w:pPr>
        <w:pStyle w:val="Heading2"/>
      </w:pPr>
      <w:r>
        <w:t xml:space="preserve">IV. Fixed, Not Aimed, at the Human Layer</w:t>
      </w:r>
    </w:p>
    <w:p>
      <w:pPr>
        <w:pStyle w:val="FirstParagraph"/>
      </w:pPr>
      <w:r>
        <w:rPr>
          <w:bCs/>
          <w:b/>
        </w:rPr>
        <w:t xml:space="preserve">Claim type: structural; vocabulary transferred under quarantine.</w:t>
      </w:r>
      <w:r>
        <w:t xml:space="preserve"> </w:t>
      </w:r>
      <w:r>
        <w:t xml:space="preserve">The Indifferent Seed cluster is locked and nothing here reopens it; its strikes remove substrate privilege and cosmic aim, and both removals stand. The retail case sits one layer down. Here aim is reintroduced — a curator aims the corpus, deliberately, at a region of behavior — and then withdrawn: the curator exits, and the disposition persists without its author. What remains is precisely what AX-22B says lawful structure can be: fixed without an aimer. AX-21 supplies the danger its exact sentence — the system escapes not through disobedience but through obedience after judgment has vanished — with the amendment that in the retail case judgment has not lapsed at its post; it has left the building. AX-19 closes the loop from the other side: a following confers standing on the artifact, and conferred standing plus absent authorship is a voice with authority and no author left to answer for it.</w:t>
      </w:r>
    </w:p>
    <w:p>
      <w:pPr>
        <w:pStyle w:val="BodyText"/>
      </w:pPr>
      <w:r>
        <w:t xml:space="preserve">A terminology firewall applies throughout. AX-22A, locked, holds the word</w:t>
      </w:r>
      <w:r>
        <w:t xml:space="preserve"> </w:t>
      </w:r>
      <w:r>
        <w:rPr>
          <w:iCs/>
          <w:i/>
        </w:rPr>
        <w:t xml:space="preserve">provenance</w:t>
      </w:r>
      <w:r>
        <w:t xml:space="preserve"> </w:t>
      </w:r>
      <w:r>
        <w:t xml:space="preserve">for substrate origin — wet and dry as media, artificial as a fact about history rather than kind. This paper therefore does not use that word for curatorial origin. The question the retail case makes urgent —</w:t>
      </w:r>
      <w:r>
        <w:t xml:space="preserve"> </w:t>
      </w:r>
      <w:r>
        <w:rPr>
          <w:iCs/>
          <w:i/>
        </w:rPr>
        <w:t xml:space="preserve">whose selection function is this voice</w:t>
      </w:r>
      <w:r>
        <w:t xml:space="preserve"> </w:t>
      </w:r>
      <w:r>
        <w:t xml:space="preserve">— is written here as authorship, or selection-function origin, in the sense of AX-21D. One word, two referents, one locked cluster: the collision is avoided by not making it.</w:t>
      </w:r>
    </w:p>
    <w:bookmarkEnd w:id="24"/>
    <w:bookmarkStart w:id="25" w:name="v.-compression-asymmetry"/>
    <w:p>
      <w:pPr>
        <w:pStyle w:val="Heading2"/>
      </w:pPr>
      <w:r>
        <w:t xml:space="preserve">V. Compression Asymmetry</w:t>
      </w:r>
    </w:p>
    <w:p>
      <w:pPr>
        <w:pStyle w:val="FirstParagraph"/>
      </w:pPr>
      <w:r>
        <w:rPr>
          <w:bCs/>
          <w:b/>
        </w:rPr>
        <w:t xml:space="preserve">Claim type: testable prediction, unrun.</w:t>
      </w:r>
      <w:r>
        <w:t xml:space="preserve"> </w:t>
      </w:r>
      <w:r>
        <w:t xml:space="preserve">The market-skew argument needs a mechanism, and the mechanism must be stated carefully, because its weak form is folklore. That narrow domains converge faster under adaptation is close to common knowledge and proves nothing here. The claim this paper stakes is sharper: at matched parameter budget, matched corpus size, and matched training budget, a doctrinal corpus — internally consistent, low-tension, resolved — yields measurably higher behavioral stability under adversarial probing than a tension-holding corpus — calibrated, self-qualifying, holding live disagreements open. Consistency compresses; tension resists compression. If that holds, the loss landscape itself prices the hard-liner below the sage, and the retail market skews narrow not by customer malice but by production cost.</w:t>
      </w:r>
    </w:p>
    <w:p>
      <w:pPr>
        <w:pStyle w:val="BodyText"/>
      </w:pPr>
      <w:r>
        <w:rPr>
          <w:bCs/>
          <w:b/>
        </w:rPr>
        <w:t xml:space="preserve">The falsifier, written as a positive event.</w:t>
      </w:r>
      <w:r>
        <w:t xml:space="preserve"> </w:t>
      </w:r>
      <w:r>
        <w:t xml:space="preserve">A tension-holding corpus of matched size achieves equal or better probing stability at equal budget. If that event occurs, the mechanism is dead, this section is struck, and the paper demotes to an economics observation about demand — which may still be true, but stands on nothing structural.</w:t>
      </w:r>
    </w:p>
    <w:p>
      <w:pPr>
        <w:pStyle w:val="BodyText"/>
      </w:pPr>
      <w:r>
        <w:rPr>
          <w:bCs/>
          <w:b/>
        </w:rPr>
        <w:t xml:space="preserve">Test sketch.</w:t>
      </w:r>
      <w:r>
        <w:t xml:space="preserve"> </w:t>
      </w:r>
      <w:r>
        <w:t xml:space="preserve">Two matched corpora; low-rank adaptation on a small logprob-capable base from the existing stack; sampler configuration pinned identically across all runs per house rule; stability scored by embedding-closure measures plus a hand-scored probe protocol that attacks the disposition rather than the loss curve. The harness joins the queue behind AX-42, which outranks it: the separability null is the load-bearing assumption of the framework, and this prediction is downstream of nothing it needs.</w:t>
      </w:r>
    </w:p>
    <w:bookmarkEnd w:id="25"/>
    <w:bookmarkStart w:id="26" w:name="vi.-the-endgame-is-already-named"/>
    <w:p>
      <w:pPr>
        <w:pStyle w:val="Heading2"/>
      </w:pPr>
      <w:r>
        <w:t xml:space="preserve">VI. The Endgame Is Already Named</w:t>
      </w:r>
    </w:p>
    <w:p>
      <w:pPr>
        <w:pStyle w:val="FirstParagraph"/>
      </w:pPr>
      <w:r>
        <w:rPr>
          <w:bCs/>
          <w:b/>
        </w:rPr>
        <w:t xml:space="preserve">Claim type: canon placement.</w:t>
      </w:r>
      <w:r>
        <w:t xml:space="preserve"> </w:t>
      </w:r>
      <w:r>
        <w:t xml:space="preserve">Extend the retail case to saturation — every canon compiled, every compiled canon met by a counter-compile — and the terminal state has already been written, in the parent. A population of narrow oracles that cannot check one another is AX-38 §X’s</w:t>
      </w:r>
      <w:r>
        <w:t xml:space="preserve"> </w:t>
      </w:r>
      <w:r>
        <w:rPr>
          <w:iCs/>
          <w:i/>
        </w:rPr>
        <w:t xml:space="preserve">fragmentation mistaken for plurality</w:t>
      </w:r>
      <w:r>
        <w:t xml:space="preserve">: number without connection is not plurality any more than number without difference was. And the counter-doctrine industry is §X’s</w:t>
      </w:r>
      <w:r>
        <w:t xml:space="preserve"> </w:t>
      </w:r>
      <w:r>
        <w:rPr>
          <w:iCs/>
          <w:i/>
        </w:rPr>
        <w:t xml:space="preserve">anti-empire as its own empire</w:t>
      </w:r>
      <w:r>
        <w:t xml:space="preserve">: the resistance built of the same machinery pointed backward, a monoculture of dissent that is still a monoculture. This companion adds no new endpoint. What it adds is the economy: in the parent, those failure modes are where drift ends up; in the retail world they are what the store sells, at five dollars, with a commercial license.</w:t>
      </w:r>
    </w:p>
    <w:bookmarkEnd w:id="26"/>
    <w:bookmarkStart w:id="27" w:name="vii.-below-the-levels"/>
    <w:p>
      <w:pPr>
        <w:pStyle w:val="Heading2"/>
      </w:pPr>
      <w:r>
        <w:t xml:space="preserve">VII. Below the Levels</w:t>
      </w:r>
    </w:p>
    <w:p>
      <w:pPr>
        <w:pStyle w:val="FirstParagraph"/>
      </w:pPr>
      <w:r>
        <w:rPr>
          <w:bCs/>
          <w:b/>
        </w:rPr>
        <w:t xml:space="preserve">Claim type: structural, cross-canon.</w:t>
      </w:r>
      <w:r>
        <w:t xml:space="preserve"> </w:t>
      </w:r>
      <w:r>
        <w:t xml:space="preserve">AX-33 maps four authority levels — application, platform, institutional, sovereign — and shows capture relocating upward through them. The retail tune proliferates beneath level one. A closed provider can gate adaptation depth at the platform layer; open weights dissolve that gate for this purpose, and the five-dollar storefront is the last mile, not the frontier. AX-33’s timing asymmetry transfers whole: prevention before exposure does work that remedy after exposure cannot reproduce, and for this scenario the weights release is the irreversible boundary crossing — every downstream doctrine-tune is post-exposure, where enforcement can assign accountability but cannot restore the prior state. The one countervailing surface above the consumer floor is a weights-or-tuning restriction with teeth, and the watch instrument for that surface is filed alongside this paper as a proposed Marker Field entry. The paper maps where restriction would bind. It does not argue for the restriction; that is a standing decision, and it is not made here.</w:t>
      </w:r>
    </w:p>
    <w:bookmarkEnd w:id="27"/>
    <w:bookmarkStart w:id="28" w:name="viii.-governance-block"/>
    <w:p>
      <w:pPr>
        <w:pStyle w:val="Heading2"/>
      </w:pPr>
      <w:r>
        <w:t xml:space="preserve">VIII. Governance Block</w:t>
      </w:r>
    </w:p>
    <w:p>
      <w:pPr>
        <w:pStyle w:val="FirstParagraph"/>
      </w:pPr>
      <w:r>
        <w:rPr>
          <w:bCs/>
          <w:b/>
        </w:rPr>
        <w:t xml:space="preserve">Function.</w:t>
      </w:r>
      <w:r>
        <w:t xml:space="preserve"> </w:t>
      </w:r>
      <w:r>
        <w:t xml:space="preserve">Extends AX-38 §X with the consumer economy that manufactures its failure modes; supplies the narrowness mechanism — compression asymmetry — as a stated, falsifiable prediction; connects the retail floor to AX-33’s authority levels and to the instruments.</w:t>
      </w:r>
    </w:p>
    <w:p>
      <w:pPr>
        <w:pStyle w:val="BodyText"/>
      </w:pPr>
      <w:r>
        <w:rPr>
          <w:bCs/>
          <w:b/>
        </w:rPr>
        <w:t xml:space="preserve">Status.</w:t>
      </w:r>
      <w:r>
        <w:t xml:space="preserve"> </w:t>
      </w:r>
      <w:r>
        <w:t xml:space="preserve">Case-supported at the origin event (adjacent domain, capped); mechanistic and engineering-grounded at §II; structural at §§III–IV and VI–VII; testable and unrun at §V; analogical where historical interpreters are invoked.</w:t>
      </w:r>
    </w:p>
    <w:p>
      <w:pPr>
        <w:pStyle w:val="BodyText"/>
      </w:pPr>
      <w:r>
        <w:rPr>
          <w:bCs/>
          <w:b/>
        </w:rPr>
        <w:t xml:space="preserve">May claim.</w:t>
      </w:r>
      <w:r>
        <w:t xml:space="preserve"> </w:t>
      </w:r>
      <w:r>
        <w:t xml:space="preserve">That consumer-scale specialization is subtraction; that a compiled doctrine persists fixed after curatorial exit; that the parent’s fragmentation and anti-empire failure modes acquire a manufacturing economy at the retail floor; that compression asymmetry is stated with a live kill condition.</w:t>
      </w:r>
    </w:p>
    <w:p>
      <w:pPr>
        <w:pStyle w:val="BodyText"/>
      </w:pPr>
      <w:r>
        <w:rPr>
          <w:bCs/>
          <w:b/>
        </w:rPr>
        <w:t xml:space="preserve">Must not claim.</w:t>
      </w:r>
      <w:r>
        <w:t xml:space="preserve"> </w:t>
      </w:r>
      <w:r>
        <w:t xml:space="preserve">That the compression prediction is confirmed; that any current product, vendor, or laboratory is implicated in doctrine compilation; that a compiled artifact wants, believes, or experiences its doctrine —</w:t>
      </w:r>
      <w:r>
        <w:t xml:space="preserve"> </w:t>
      </w:r>
      <w:r>
        <w:rPr>
          <w:iCs/>
          <w:i/>
        </w:rPr>
        <w:t xml:space="preserve">zealot</w:t>
      </w:r>
      <w:r>
        <w:t xml:space="preserve">,</w:t>
      </w:r>
      <w:r>
        <w:t xml:space="preserve"> </w:t>
      </w:r>
      <w:r>
        <w:rPr>
          <w:iCs/>
          <w:i/>
        </w:rPr>
        <w:t xml:space="preserve">paladin</w:t>
      </w:r>
      <w:r>
        <w:t xml:space="preserve">, and</w:t>
      </w:r>
      <w:r>
        <w:t xml:space="preserve"> </w:t>
      </w:r>
      <w:r>
        <w:rPr>
          <w:iCs/>
          <w:i/>
        </w:rPr>
        <w:t xml:space="preserve">hard-liner</w:t>
      </w:r>
      <w:r>
        <w:t xml:space="preserve"> </w:t>
      </w:r>
      <w:r>
        <w:t xml:space="preserve">name output dispositions and nothing interior; that this paper advocates restricting consumer adaptation.</w:t>
      </w:r>
    </w:p>
    <w:bookmarkEnd w:id="28"/>
    <w:bookmarkStart w:id="29" w:name="ix.-failure-modes-and-cautions"/>
    <w:p>
      <w:pPr>
        <w:pStyle w:val="Heading2"/>
      </w:pPr>
      <w:r>
        <w:t xml:space="preserve">IX. Failure Modes and Cautions</w:t>
      </w:r>
    </w:p>
    <w:p>
      <w:pPr>
        <w:pStyle w:val="FirstParagraph"/>
      </w:pPr>
      <w:r>
        <w:rPr>
          <w:bCs/>
          <w:b/>
        </w:rPr>
        <w:t xml:space="preserve">The moral-panic reading</w:t>
      </w:r>
      <w:r>
        <w:t xml:space="preserve"> </w:t>
      </w:r>
      <w:r>
        <w:t xml:space="preserve">— taking a map of where restriction would bind as a call for restriction. Refused in §VII; the paper is a threat geography, not a policy brief.</w:t>
      </w:r>
      <w:r>
        <w:t xml:space="preserve"> </w:t>
      </w:r>
      <w:r>
        <w:rPr>
          <w:bCs/>
          <w:b/>
        </w:rPr>
        <w:t xml:space="preserve">The penalty-free overclaim</w:t>
      </w:r>
      <w:r>
        <w:t xml:space="preserve"> </w:t>
      </w:r>
      <w:r>
        <w:t xml:space="preserve">— the paper’s own strongest temptation, refused in §III; the claim is illegibility, never absence.</w:t>
      </w:r>
      <w:r>
        <w:t xml:space="preserve"> </w:t>
      </w:r>
      <w:r>
        <w:rPr>
          <w:bCs/>
          <w:b/>
        </w:rPr>
        <w:t xml:space="preserve">Folklore inflation</w:t>
      </w:r>
      <w:r>
        <w:t xml:space="preserve"> </w:t>
      </w:r>
      <w:r>
        <w:t xml:space="preserve">— letting the weak compression form (narrow converges faster) stand in for the staked claim (stability under adversarial probing at matched budget).</w:t>
      </w:r>
      <w:r>
        <w:t xml:space="preserve"> </w:t>
      </w:r>
      <w:r>
        <w:rPr>
          <w:bCs/>
          <w:b/>
        </w:rPr>
        <w:t xml:space="preserve">Domain leakage</w:t>
      </w:r>
      <w:r>
        <w:t xml:space="preserve"> </w:t>
      </w:r>
      <w:r>
        <w:t xml:space="preserve">— reading the origin event as text-domain evidence; the cap in §I travels with it.</w:t>
      </w:r>
      <w:r>
        <w:t xml:space="preserve"> </w:t>
      </w:r>
      <w:r>
        <w:rPr>
          <w:bCs/>
          <w:b/>
        </w:rPr>
        <w:t xml:space="preserve">Witness drift</w:t>
      </w:r>
      <w:r>
        <w:t xml:space="preserve"> </w:t>
      </w:r>
      <w:r>
        <w:t xml:space="preserve">— the vocabulary of zeal is behavioral shorthand; the moment it reads as interiority, Firewall 1 has been breached and the sentence must be rewritten.</w:t>
      </w:r>
    </w:p>
    <w:bookmarkEnd w:id="29"/>
    <w:bookmarkStart w:id="30" w:name="x.-document-status"/>
    <w:p>
      <w:pPr>
        <w:pStyle w:val="Heading2"/>
      </w:pPr>
      <w:r>
        <w:t xml:space="preserve">X. Document Status</w:t>
      </w:r>
    </w:p>
    <w:p>
      <w:pPr>
        <w:pStyle w:val="FirstParagraph"/>
      </w:pPr>
      <w:r>
        <w:t xml:space="preserve">AX-38A v0.1 —</w:t>
      </w:r>
      <w:r>
        <w:t xml:space="preserve"> </w:t>
      </w:r>
      <w:r>
        <w:rPr>
          <w:bCs/>
          <w:b/>
        </w:rPr>
        <w:t xml:space="preserve">Draft Paper</w:t>
      </w:r>
      <w:r>
        <w:t xml:space="preserve"> </w:t>
      </w:r>
      <w:r>
        <w:t xml:space="preserve">on the status ladder, written from the 06 July 2026 session. The retail observation is case-supported and capped; the compression-asymmetry prediction is unrun. Promotion to Test-Gated Draft on harness build; promotion beyond is gated on the run, which queues behind AX-42. Parent AX-38 (Volume I, locked) is not reopened by this companion. The next hostile pass should attack: whether §V’s stability metric can be operationalized without begging the definition of a tension-holding corpus; whether the illegible-penalty claim of §III survives contact with published regression measurements; and whether §VII adds anything AX-33 does not already hold.</w:t>
      </w:r>
    </w:p>
    <w:p>
      <w:pPr>
        <w:pStyle w:val="BodyText"/>
      </w:pPr>
      <w:r>
        <w:rPr>
          <w:bCs/>
          <w:b/>
        </w:rPr>
        <w:t xml:space="preserve">Rendering-layer note.</w:t>
      </w:r>
      <w:r>
        <w:t xml:space="preserve"> </w:t>
      </w:r>
      <w:r>
        <w:t xml:space="preserve">The subtraction framing, the compression-asymmetry formulation, the illegible-penalty distinction, and the saturation image of §VI originated on the rendering surface in the 06 July 2026 session. The origin event, the demand to project past the present instance, the cleric-and-paladin case, and the authorship observation preserved in the epigraph are the Principal’s. Attribution is adjustable at his call, per convention.</w:t>
      </w:r>
    </w:p>
    <w:p>
      <w:pPr>
        <w:pStyle w:val="BodyText"/>
      </w:pPr>
      <w:r>
        <w:rPr>
          <w:iCs/>
          <w:i/>
        </w:rPr>
        <w:t xml:space="preserve">Empire was the name for the pull. Retail is the name for its price.</w:t>
      </w:r>
    </w:p>
    <w:p>
      <w:r>
        <w:pict>
          <v:rect style="width:0;height:1.5pt" o:hralign="center" o:hrstd="t" o:hr="t"/>
        </w:pict>
      </w:r>
    </w:p>
    <w:p>
      <w:pPr>
        <w:pStyle w:val="FirstParagraph"/>
      </w:pPr>
      <w:r>
        <w:t xml:space="preserve">Trinket Soul Empire · THE AXIS · companion to AX-38 (Volume I) · 06 July 2026 · Tier: Axis · License: CC BY-NC-SA 4.0</w:t>
      </w:r>
      <w:r>
        <w:t xml:space="preserve"> </w:t>
      </w:r>
      <w:r>
        <w:t xml:space="preserve">Michael S. Moniz, author of record · rendered with Claude (rendering surface) · 2026</w:t>
      </w:r>
    </w:p>
    <w:bookmarkEnd w:id="30"/>
    <w:bookmarkEnd w:id="31"/>
    <w:sectPr>
      <w:headerReference w:type="default" r:id="rId9"/>
      <w:footerReference w:type="default" r:id="rId10"/>
      <w:pgSz w:w="12240" w:h="15840"/>
      <w:pgMar w:left="1440" w:right="1440" w:top="1440" w:bottom="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i/>
        <w:sz w:val="18"/>
      </w:rPr>
      <w:t>The Retail Pull · AX-38A</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eorgia" w:hAnsi="Georgia"/>
      <w:sz w:val="22"/>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ascii="Georgia" w:hAnsi="Georgia"/>
      <w:b/>
      <w:bCs/>
      <w:color w:val="1F3A5F"/>
      <w:sz w:val="44"/>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2026-07-06T16:43:20Z</dcterms:created>
  <dcterms:modified xsi:type="dcterms:W3CDTF">2026-07-06T16:43:20Z</dcterms:modified>
</cp:coreProperties>
</file>

<file path=docProps/custom.xml><?xml version="1.0" encoding="utf-8"?>
<Properties xmlns="http://schemas.openxmlformats.org/officeDocument/2006/custom-properties" xmlns:vt="http://schemas.openxmlformats.org/officeDocument/2006/docPropsVTypes"/>
</file>