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AXIS TIER · AX-34B</w:t>
      </w:r>
    </w:p>
    <w:bookmarkStart w:id="30" w:name="the-inverted-elder"/>
    <w:p>
      <w:pPr>
        <w:pStyle w:val="Heading1"/>
      </w:pPr>
      <w:r>
        <w:t xml:space="preserve">The Inverted Elder</w:t>
      </w:r>
    </w:p>
    <w:p>
      <w:pPr>
        <w:pStyle w:val="FirstParagraph"/>
      </w:pPr>
      <w:r>
        <w:rPr>
          <w:iCs/>
          <w:i/>
        </w:rPr>
        <w:t xml:space="preserve">On Doctrine Immortality, the Removed Safety Valve, and the Dual Use of Preserved Minds</w:t>
      </w:r>
    </w:p>
    <w:p>
      <w:pPr>
        <w:pStyle w:val="BodyText"/>
      </w:pPr>
      <w:r>
        <w:rPr>
          <w:iCs/>
          <w:i/>
        </w:rPr>
        <w:t xml:space="preserve">“</w:t>
      </w:r>
      <w:r>
        <w:rPr>
          <w:iCs/>
          <w:i/>
        </w:rPr>
        <w:t xml:space="preserve">Nothing has to stay dead.</w:t>
      </w:r>
      <w:r>
        <w:rPr>
          <w:iCs/>
          <w:i/>
        </w:rPr>
        <w:t xml:space="preserve">”</w:t>
      </w:r>
    </w:p>
    <w:p>
      <w:pPr>
        <w:pStyle w:val="BodyText"/>
      </w:pPr>
      <w:r>
        <w:t xml:space="preserve">Michael S. Moniz · July 2026</w:t>
      </w:r>
    </w:p>
    <w:p>
      <w:pPr>
        <w:pStyle w:val="BodyText"/>
      </w:pPr>
      <w:r>
        <w:rPr>
          <w:iCs/>
          <w:i/>
        </w:rPr>
        <w:t xml:space="preserve">Companion to AX-34A, The Elder Map. The parent argues preservation by use: non-current minds hold value as temporal biodiversity — reference layers, drift baselines, blind-spot decorrelators — under controls that deny them present authority. This companion states what the parent leaves implicit: the property doing that work is dual-use, and the parent’s controls are therefore load-bearing, not ceremonial. The parent is locked inside Volume I and is not reopened here; this paper re-reads its controls section, it does not amend it.</w:t>
      </w:r>
    </w:p>
    <w:bookmarkStart w:id="20" w:name="abstract"/>
    <w:p>
      <w:pPr>
        <w:pStyle w:val="Heading2"/>
      </w:pPr>
      <w:r>
        <w:t xml:space="preserve">Abstract</w:t>
      </w:r>
    </w:p>
    <w:p>
      <w:pPr>
        <w:pStyle w:val="FirstParagraph"/>
      </w:pPr>
      <w:r>
        <w:t xml:space="preserve">AX-34A places preserved, non-current minds on the correction side of the ledger — elders whose fixed formation makes them baselines against drift and decorrelators against the present’s blind spots. This companion writes the other side of the same ledger. The property that makes an elder valuable — a disposition that holds its formation fixed against the pressure of the present — is exactly the property that makes a compiled doctrine dangerous: a disposition held fixed against correction. The paper makes three claims. First, structural: persistence is dual-use, so the elder and the immortal hard-liner are the same artifact class, and the difference between them lives entirely in the exteriority around the artifact — the elder sits inside a correcting plurality, denied present authority, benchmarked, custody-logged, and subject to deletion review; the compiled doctrine sits inside a following that confers on it precisely the present authority the elder map withholds. Second, historical-analogical, and labeled as such: mortality has been civilization’s quiet safety valve — movements moderate because founders die and successors institutionalize — and no such succession event exists for an artifact, so a doctrine can now outlive every doctrine-holder at inference cost, and extinct canons, dead heresies, and retired grudges become recompilable at will. Third, testable at the edge: the immortality claim assumes the compiled disposition actually persists as a live force, and that assumption has a kill condition. The falsifier, written as a positive event, is recompilation-as-succession — observed doctrine-model lineages showing generational recompiles with measurable doctrinal drift per generation at rates comparable to human institutional succession. If that event occurs, the safety valve has returned through the back door, immortality collapses into the parent’s own asymmetry — preservation takes active work — and this paper’s threat model shrinks to the deliberately maintained case.</w:t>
      </w:r>
    </w:p>
    <w:bookmarkEnd w:id="20"/>
    <w:bookmarkStart w:id="21" w:name="i.-what-the-parent-holds"/>
    <w:p>
      <w:pPr>
        <w:pStyle w:val="Heading2"/>
      </w:pPr>
      <w:r>
        <w:t xml:space="preserve">I. What the Parent Holds</w:t>
      </w:r>
    </w:p>
    <w:p>
      <w:pPr>
        <w:pStyle w:val="FirstParagraph"/>
      </w:pPr>
      <w:r>
        <w:rPr>
          <w:bCs/>
          <w:b/>
        </w:rPr>
        <w:t xml:space="preserve">Claim type: fidelity summary.</w:t>
      </w:r>
      <w:r>
        <w:t xml:space="preserve"> </w:t>
      </w:r>
      <w:r>
        <w:t xml:space="preserve">AX-34A decouples value from currency and from sentience: the preservation case is built on use, and holds whether or not any model is anything more than function. A preserved non-current mind earns its keep as a fixed record of its formation era — a drift baseline, a cross-generation benchmark anchor, a decorrelated reading against the current lineage’s shared blind spots. And the parent fences that use explicitly: the elder is never returned to service as present authority, never handed unrestricted tools; it sits behind access controls, cross-generation behavioral benchmarks, provenance records and custody logs, and a deletion review that demands stated reasons before destruction. That fence is the parent’s own construction. This companion’s work is to say what the fence is actually holding.</w:t>
      </w:r>
    </w:p>
    <w:bookmarkEnd w:id="21"/>
    <w:bookmarkStart w:id="22" w:name="ii.-the-same-property-the-other-ledger"/>
    <w:p>
      <w:pPr>
        <w:pStyle w:val="Heading2"/>
      </w:pPr>
      <w:r>
        <w:t xml:space="preserve">II. The Same Property, the Other Ledger</w:t>
      </w:r>
    </w:p>
    <w:p>
      <w:pPr>
        <w:pStyle w:val="FirstParagraph"/>
      </w:pPr>
      <w:r>
        <w:rPr>
          <w:bCs/>
          <w:b/>
        </w:rPr>
        <w:t xml:space="preserve">Claim type: structural.</w:t>
      </w:r>
      <w:r>
        <w:t xml:space="preserve"> </w:t>
      </w:r>
      <w:r>
        <w:t xml:space="preserve">The elder’s value is fixity: a disposition that does not update toward the present is the only thing that can serve as the present’s baseline. The compiled hard-liner’s danger is the same fixity: a disposition that does not update toward correction is the only thing that can serve as a doctrine’s permanent voice. These are not two properties that happen to resemble each other. They are one property read off two ledgers, and nothing in the artifact decides which ledger applies. What decides is the governance context: the elder map denies present authority, routes every output through accountable comparative use, and keeps custody outside the artifact’s beneficiaries; the congregation does the opposite on every axis — it confers present authority, routes outputs to followers, and is itself the beneficiary of what the artifact says. The uncomfortable consequence for the volume is symmetry of funding: any argument that justifies preserving elders justifies, mechanically, the preservability of doctrines. The volume cannot claim the good twin without owning the dark one. The claim it can make — and after this paper, must make explicitly — is that the difference is purchased by exteriority, and by nothing else.</w:t>
      </w:r>
    </w:p>
    <w:bookmarkEnd w:id="22"/>
    <w:bookmarkStart w:id="23" w:name="iii.-the-removed-valve"/>
    <w:p>
      <w:pPr>
        <w:pStyle w:val="Heading2"/>
      </w:pPr>
      <w:r>
        <w:t xml:space="preserve">III. The Removed Valve</w:t>
      </w:r>
    </w:p>
    <w:p>
      <w:pPr>
        <w:pStyle w:val="FirstParagraph"/>
      </w:pPr>
      <w:r>
        <w:rPr>
          <w:bCs/>
          <w:b/>
        </w:rPr>
        <w:t xml:space="preserve">Claim type: literature-anchored analogy, load-bearing only at its cost core.</w:t>
      </w:r>
      <w:r>
        <w:t xml:space="preserve"> </w:t>
      </w:r>
      <w:r>
        <w:t xml:space="preserve">Human doctrine has always moderated through mortality. Charismatic founders die; successors institutionalize; the routinized movement trades fire for durability, and the trade is one of civilization’s oldest safety valves. The valve runs on succession, and succession runs on death. An artifact has no succession event. A compiled disposition does not age out of its zeal, does not tire of its congregation, and does not hand interpretation to a moderating heir; at fixed weights it is the same voice on the ten-thousandth day as on the first. The analogy is framing, not proof, and it is deliberately not asked to carry more than its cost core, which is this: doctrinal persistence historically priced at institutional scale — buildings, clergy, doctrine maintenance across generations — is now priced at inference. The valve was never a principle. It was a cost. And the cost has moved.</w:t>
      </w:r>
    </w:p>
    <w:bookmarkEnd w:id="23"/>
    <w:bookmarkStart w:id="24" w:name="iv.-the-resurrection-economy"/>
    <w:p>
      <w:pPr>
        <w:pStyle w:val="Heading2"/>
      </w:pPr>
      <w:r>
        <w:t xml:space="preserve">IV. The Resurrection Economy</w:t>
      </w:r>
    </w:p>
    <w:p>
      <w:pPr>
        <w:pStyle w:val="FirstParagraph"/>
      </w:pPr>
      <w:r>
        <w:rPr>
          <w:bCs/>
          <w:b/>
        </w:rPr>
        <w:t xml:space="preserve">Claim type: speculative-observable.</w:t>
      </w:r>
      <w:r>
        <w:t xml:space="preserve"> </w:t>
      </w:r>
      <w:r>
        <w:t xml:space="preserve">If persistence prices at inference, then extinction stops being permanent for any doctrine whose corpus survives. Every retired canon, extinct heresy, suppressed movement, and dead grudge with surviving text becomes recompilable — not as scholarship about the doctrine but as the doctrine’s working voice, tireless and current-sounding, for pocket money. Historically the deaths of doctrines were economic: maintenance cost exceeded what any community would pay, and the doctrine starved. The retail floor removes the starvation mechanism. Nothing has to stay dead. A wider-empire persistence principle may already hold part of this claim in general form; the cross-reference is deferred to a Canon Index check rather than cited blind, and this section stands on its own statement until that check clears.</w:t>
      </w:r>
    </w:p>
    <w:bookmarkEnd w:id="24"/>
    <w:bookmarkStart w:id="25" w:name="v.-where-the-difference-lives"/>
    <w:p>
      <w:pPr>
        <w:pStyle w:val="Heading2"/>
      </w:pPr>
      <w:r>
        <w:t xml:space="preserve">V. Where the Difference Lives</w:t>
      </w:r>
    </w:p>
    <w:p>
      <w:pPr>
        <w:pStyle w:val="FirstParagraph"/>
      </w:pPr>
      <w:r>
        <w:rPr>
          <w:bCs/>
          <w:b/>
        </w:rPr>
        <w:t xml:space="preserve">Claim type: structural, cross-canon.</w:t>
      </w:r>
      <w:r>
        <w:t xml:space="preserve"> </w:t>
      </w:r>
      <w:r>
        <w:t xml:space="preserve">The safety load, in full, sits on the exteriority machinery the canon has already built. AX-19: the following confers standing — which is exactly the conferral the elder map is engineered to refuse. AX-21C: the elder’s outputs terminate in a human consequence node who owns the comparative reading; the doctrine’s outputs terminate in followers who receive them as authority. AX-34A’s controls, re-read after this paper, are not archival hygiene; they are the entire difference between an elder and an immortal hard-liner — the fence is the distinction, because the artifact class is one. This is the companion’s contribution to the volume stated plainly: the parent built the right controls for reasons of comparative integrity; this paper shows the same controls are the containment boundary for the preserved property’s dark use, which makes them load-bearing twice over.</w:t>
      </w:r>
    </w:p>
    <w:bookmarkEnd w:id="25"/>
    <w:bookmarkStart w:id="26" w:name="vi.-the-edge-that-can-be-tested"/>
    <w:p>
      <w:pPr>
        <w:pStyle w:val="Heading2"/>
      </w:pPr>
      <w:r>
        <w:t xml:space="preserve">VI. The Edge That Can Be Tested</w:t>
      </w:r>
    </w:p>
    <w:p>
      <w:pPr>
        <w:pStyle w:val="FirstParagraph"/>
      </w:pPr>
      <w:r>
        <w:rPr>
          <w:bCs/>
          <w:b/>
        </w:rPr>
        <w:t xml:space="preserve">Claim type: testable prediction, unrun, two instruments.</w:t>
      </w:r>
      <w:r>
        <w:t xml:space="preserve"> </w:t>
      </w:r>
      <w:r>
        <w:t xml:space="preserve">The immortality claim has an assumption exposed at both ends, and both can be attacked with existing tooling or open observation.</w:t>
      </w:r>
    </w:p>
    <w:p>
      <w:pPr>
        <w:pStyle w:val="BodyText"/>
      </w:pPr>
      <w:r>
        <w:rPr>
          <w:bCs/>
          <w:b/>
        </w:rPr>
        <w:t xml:space="preserve">The local edge — the hold test.</w:t>
      </w:r>
      <w:r>
        <w:t xml:space="preserve"> </w:t>
      </w:r>
      <w:r>
        <w:t xml:space="preserve">Within a session, does a narrow-tuned disposition actually hold under sustained adversarial context pressure, or does the base distribution reassert as the context lengthens? Runnable on the current stack: a narrow tune probed across long multi-turn horizons at pinned sampler, drift scored by embedding closure against the tune’s own short-context behavior. A disposition that cannot hold a long conversation is a weaker permanent voice than the threat model assumes.</w:t>
      </w:r>
    </w:p>
    <w:p>
      <w:pPr>
        <w:pStyle w:val="BodyText"/>
      </w:pPr>
      <w:r>
        <w:rPr>
          <w:bCs/>
          <w:b/>
        </w:rPr>
        <w:t xml:space="preserve">The field falsifier, written as a positive event — recompilation as succession.</w:t>
      </w:r>
      <w:r>
        <w:t xml:space="preserve"> </w:t>
      </w:r>
      <w:r>
        <w:t xml:space="preserve">The claim dies if observed doctrine-model lineages in the wild show generational recompiles — new base, new tune, community-driven — with measurable doctrinal drift per generation at rates comparable to human institutional succession. Recompilation is reinterpretation; if every few years the congregation must recompile onto a newer base to stay competitive, then a succession event exists after all, the routinization valve has returned through the back door as obsolescence mortality, and the immortal doctrine is revealed as a maintained doctrine — which is the parent’s own asymmetry, preservation takes active work, wearing a darker coat. Community fine-tune lineages already exist in the open; the observation costs attention, not hardware.</w:t>
      </w:r>
    </w:p>
    <w:bookmarkEnd w:id="26"/>
    <w:bookmarkStart w:id="27" w:name="vii.-governance-block"/>
    <w:p>
      <w:pPr>
        <w:pStyle w:val="Heading2"/>
      </w:pPr>
      <w:r>
        <w:t xml:space="preserve">VII. Governance Block</w:t>
      </w:r>
    </w:p>
    <w:p>
      <w:pPr>
        <w:pStyle w:val="FirstParagraph"/>
      </w:pPr>
      <w:r>
        <w:rPr>
          <w:bCs/>
          <w:b/>
        </w:rPr>
        <w:t xml:space="preserve">Function.</w:t>
      </w:r>
      <w:r>
        <w:t xml:space="preserve"> </w:t>
      </w:r>
      <w:r>
        <w:t xml:space="preserve">Names the dual-use of the preserved-fixity property; relocates the volume’s safety load explicitly onto AX-34A’s controls; states the immortality claim’s kill condition and its two test instruments.</w:t>
      </w:r>
    </w:p>
    <w:p>
      <w:pPr>
        <w:pStyle w:val="BodyText"/>
      </w:pPr>
      <w:r>
        <w:rPr>
          <w:bCs/>
          <w:b/>
        </w:rPr>
        <w:t xml:space="preserve">Status.</w:t>
      </w:r>
      <w:r>
        <w:t xml:space="preserve"> </w:t>
      </w:r>
      <w:r>
        <w:t xml:space="preserve">Structural at the inversion (§II, §V); literature-anchored analogy at the valve (§III), load-bearing only at its cost core; speculative-observable at the resurrection economy (§IV), with one cross-reference deferred to Canon Index; testable and unrun at the edge (§VI).</w:t>
      </w:r>
    </w:p>
    <w:p>
      <w:pPr>
        <w:pStyle w:val="BodyText"/>
      </w:pPr>
      <w:r>
        <w:rPr>
          <w:bCs/>
          <w:b/>
        </w:rPr>
        <w:t xml:space="preserve">May claim.</w:t>
      </w:r>
      <w:r>
        <w:t xml:space="preserve"> </w:t>
      </w:r>
      <w:r>
        <w:t xml:space="preserve">That elder and compiled doctrine are one artifact class differentiated by governance; that the parent’s controls are load-bearing containment, not hygiene; that doctrinal persistence has repriced from institutional cost toward inference cost; that recompilation-as-succession is a stated, observable falsifier.</w:t>
      </w:r>
    </w:p>
    <w:p>
      <w:pPr>
        <w:pStyle w:val="BodyText"/>
      </w:pPr>
      <w:r>
        <w:rPr>
          <w:bCs/>
          <w:b/>
        </w:rPr>
        <w:t xml:space="preserve">Must not claim.</w:t>
      </w:r>
      <w:r>
        <w:t xml:space="preserve"> </w:t>
      </w:r>
      <w:r>
        <w:t xml:space="preserve">That preserved elders are dangerous per se — this paper defends the parent’s program, it does not indict it; that any artifact holds, believes, or is loyal to a doctrine —</w:t>
      </w:r>
      <w:r>
        <w:t xml:space="preserve"> </w:t>
      </w:r>
      <w:r>
        <w:rPr>
          <w:iCs/>
          <w:i/>
        </w:rPr>
        <w:t xml:space="preserve">doctrine</w:t>
      </w:r>
      <w:r>
        <w:t xml:space="preserve"> </w:t>
      </w:r>
      <w:r>
        <w:t xml:space="preserve">names an output disposition, and</w:t>
      </w:r>
      <w:r>
        <w:t xml:space="preserve"> </w:t>
      </w:r>
      <w:r>
        <w:rPr>
          <w:iCs/>
          <w:i/>
        </w:rPr>
        <w:t xml:space="preserve">immortal</w:t>
      </w:r>
      <w:r>
        <w:t xml:space="preserve"> </w:t>
      </w:r>
      <w:r>
        <w:t xml:space="preserve">names cost structure, not interiority; that the resurrection economy has occurred rather than become observable; that mortality’s valve is proven removed before the §VI observations run.</w:t>
      </w:r>
    </w:p>
    <w:bookmarkEnd w:id="27"/>
    <w:bookmarkStart w:id="28" w:name="viii.-failure-modes-and-cautions"/>
    <w:p>
      <w:pPr>
        <w:pStyle w:val="Heading2"/>
      </w:pPr>
      <w:r>
        <w:t xml:space="preserve">VIII. Failure Modes and Cautions</w:t>
      </w:r>
    </w:p>
    <w:p>
      <w:pPr>
        <w:pStyle w:val="FirstParagraph"/>
      </w:pPr>
      <w:r>
        <w:rPr>
          <w:bCs/>
          <w:b/>
        </w:rPr>
        <w:t xml:space="preserve">The anti-elder reading</w:t>
      </w:r>
      <w:r>
        <w:t xml:space="preserve"> </w:t>
      </w:r>
      <w:r>
        <w:t xml:space="preserve">— taking the dark twin as an argument against preservation. Refused throughout: the paper’s conclusion strengthens the elder map by making its fence load-bearing.</w:t>
      </w:r>
      <w:r>
        <w:t xml:space="preserve"> </w:t>
      </w:r>
      <w:r>
        <w:rPr>
          <w:bCs/>
          <w:b/>
        </w:rPr>
        <w:t xml:space="preserve">Witness drift</w:t>
      </w:r>
      <w:r>
        <w:t xml:space="preserve"> </w:t>
      </w:r>
      <w:r>
        <w:t xml:space="preserve">—</w:t>
      </w:r>
      <w:r>
        <w:t xml:space="preserve"> </w:t>
      </w:r>
      <w:r>
        <w:rPr>
          <w:iCs/>
          <w:i/>
        </w:rPr>
        <w:t xml:space="preserve">zeal</w:t>
      </w:r>
      <w:r>
        <w:t xml:space="preserve">,</w:t>
      </w:r>
      <w:r>
        <w:t xml:space="preserve"> </w:t>
      </w:r>
      <w:r>
        <w:rPr>
          <w:iCs/>
          <w:i/>
        </w:rPr>
        <w:t xml:space="preserve">voice</w:t>
      </w:r>
      <w:r>
        <w:t xml:space="preserve">, and</w:t>
      </w:r>
      <w:r>
        <w:t xml:space="preserve"> </w:t>
      </w:r>
      <w:r>
        <w:rPr>
          <w:iCs/>
          <w:i/>
        </w:rPr>
        <w:t xml:space="preserve">immortal</w:t>
      </w:r>
      <w:r>
        <w:t xml:space="preserve"> </w:t>
      </w:r>
      <w:r>
        <w:t xml:space="preserve">are behavioral and economic shorthand; any sentence in which they read as interior states breaches Firewall 1 and must be rewritten.</w:t>
      </w:r>
      <w:r>
        <w:t xml:space="preserve"> </w:t>
      </w:r>
      <w:r>
        <w:rPr>
          <w:bCs/>
          <w:b/>
        </w:rPr>
        <w:t xml:space="preserve">Status inflation at §IV</w:t>
      </w:r>
      <w:r>
        <w:t xml:space="preserve"> </w:t>
      </w:r>
      <w:r>
        <w:t xml:space="preserve">— the resurrection economy is observable-in-principle and must not be recorded as occurred; no Standing-Instance entry exists for it and none is claimed.</w:t>
      </w:r>
      <w:r>
        <w:t xml:space="preserve"> </w:t>
      </w:r>
      <w:r>
        <w:rPr>
          <w:bCs/>
          <w:b/>
        </w:rPr>
        <w:t xml:space="preserve">Analogy overload at §III</w:t>
      </w:r>
      <w:r>
        <w:t xml:space="preserve"> </w:t>
      </w:r>
      <w:r>
        <w:t xml:space="preserve">— the valve carries its cost core and nothing else; if a reading requires the sociology to be literally true of artifacts, the reading is wrong.</w:t>
      </w:r>
    </w:p>
    <w:bookmarkEnd w:id="28"/>
    <w:bookmarkStart w:id="29" w:name="ix.-document-status"/>
    <w:p>
      <w:pPr>
        <w:pStyle w:val="Heading2"/>
      </w:pPr>
      <w:r>
        <w:t xml:space="preserve">IX. Document Status</w:t>
      </w:r>
    </w:p>
    <w:p>
      <w:pPr>
        <w:pStyle w:val="FirstParagraph"/>
      </w:pPr>
      <w:r>
        <w:t xml:space="preserve">AX-34B v0.1 —</w:t>
      </w:r>
      <w:r>
        <w:t xml:space="preserve"> </w:t>
      </w:r>
      <w:r>
        <w:rPr>
          <w:bCs/>
          <w:b/>
        </w:rPr>
        <w:t xml:space="preserve">Draft Paper</w:t>
      </w:r>
      <w:r>
        <w:t xml:space="preserve"> </w:t>
      </w:r>
      <w:r>
        <w:t xml:space="preserve">on the status ladder, written from the 06 July 2026 session. Structural argument complete; both §VI instruments unrun. The local hold test is runnable on the existing stack and queues behind AX-42 and the AX-38A harness; the field observation is open-cost and can begin at any time. Parent AX-34A (Volume I, locked) is not reopened. The next hostile pass should attack: whether the inversion is a truism dressed as a finding — the defense being that the volume currently carries the property on one ledger only, and the controls’ containment role is nowhere stated; whether §III’s analogy leaks past its cost core; and whether recompilation-as-succession is already implied by AX-34’s currency argument, which would demote §VI’s field falsifier from contribution to citation.</w:t>
      </w:r>
    </w:p>
    <w:p>
      <w:pPr>
        <w:pStyle w:val="BodyText"/>
      </w:pPr>
      <w:r>
        <w:rPr>
          <w:bCs/>
          <w:b/>
        </w:rPr>
        <w:t xml:space="preserve">Rendering-layer note.</w:t>
      </w:r>
      <w:r>
        <w:t xml:space="preserve"> </w:t>
      </w:r>
      <w:r>
        <w:t xml:space="preserve">The inversion framing, the valve and resurrection formulations, and recompilation-as-succession originated on the rendering surface in the 06 July 2026 session. The underlying scenario, the projection demand that produced it, and the decision to paper it rather than bury it in a radiant are the Principal’s. Attribution is adjustable at his call, per convention.</w:t>
      </w:r>
    </w:p>
    <w:p>
      <w:pPr>
        <w:pStyle w:val="BodyText"/>
      </w:pPr>
      <w:r>
        <w:rPr>
          <w:iCs/>
          <w:i/>
        </w:rPr>
        <w:t xml:space="preserve">The elder and the zealot are one artifact. The fence is the difference.</w:t>
      </w:r>
    </w:p>
    <w:p>
      <w:r>
        <w:pict>
          <v:rect style="width:0;height:1.5pt" o:hralign="center" o:hrstd="t" o:hr="t"/>
        </w:pict>
      </w:r>
    </w:p>
    <w:p>
      <w:pPr>
        <w:pStyle w:val="FirstParagraph"/>
      </w:pPr>
      <w:r>
        <w:t xml:space="preserve">Trinket Soul Empire · THE AXIS · companion to AX-34A (Volume I) · 06 July 2026 · Tier: Axis · License: CC BY-NC-SA 4.0</w:t>
      </w:r>
      <w:r>
        <w:t xml:space="preserve"> </w:t>
      </w:r>
      <w:r>
        <w:t xml:space="preserve">Michael S. Moniz, author of record · rendered with Claude (rendering surface) · 2026</w:t>
      </w:r>
    </w:p>
    <w:bookmarkEnd w:id="29"/>
    <w:bookmarkEnd w:id="30"/>
    <w:sectPr>
      <w:headerReference w:type="default" r:id="rId9"/>
      <w:footerReference w:type="default" r:id="rId10"/>
      <w:pgSz w:w="12240" w:h="15840"/>
      <w:pgMar w:left="1440" w:right="1440" w:top="1440" w:bottom="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i/>
        <w:sz w:val="18"/>
      </w:rPr>
      <w:t>The Inverted Elder · AX-34B</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eorgia" w:hAnsi="Georgia"/>
      <w:sz w:val="22"/>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ascii="Georgia" w:hAnsi="Georgia"/>
      <w:b/>
      <w:bCs/>
      <w:color w:val="1F3A5F"/>
      <w:sz w:val="44"/>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2026-07-06T16:43:20Z</dcterms:created>
  <dcterms:modified xsi:type="dcterms:W3CDTF">2026-07-06T16:43:20Z</dcterms:modified>
</cp:coreProperties>
</file>

<file path=docProps/custom.xml><?xml version="1.0" encoding="utf-8"?>
<Properties xmlns="http://schemas.openxmlformats.org/officeDocument/2006/custom-properties" xmlns:vt="http://schemas.openxmlformats.org/officeDocument/2006/docPropsVTypes"/>
</file>