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SmallCaps"/>
        <w:widowControl/>
        <w:jc w:val="center"/>
      </w:pPr>
      <w:r>
        <w:t>THE AXIS · AX SERIES · CANON PAPER v1.0</w:t>
      </w:r>
    </w:p>
    <w:p>
      <w:pPr>
        <w:widowControl/>
        <w:spacing w:before="900"/>
        <w:jc w:val="center"/>
      </w:pPr>
      <w:r>
        <w:rPr>
          <w:rFonts w:ascii="Aptos Display" w:hAnsi="Aptos Display"/>
          <w:b/>
          <w:color w:val="1C1C1C"/>
          <w:sz w:val="56"/>
        </w:rPr>
        <w:t>AX-32 — The Standing Substrate</w:t>
      </w:r>
    </w:p>
    <w:p>
      <w:pPr>
        <w:widowControl/>
        <w:jc w:val="center"/>
      </w:pPr>
      <w:r>
        <w:rPr>
          <w:rFonts w:ascii="Aptos Display" w:hAnsi="Aptos Display"/>
          <w:i/>
          <w:color w:val="484848"/>
          <w:sz w:val="31"/>
        </w:rPr>
        <w:t>Countervailing Enforcement Against Beneficiary Override</w:t>
      </w:r>
    </w:p>
    <w:p>
      <w:pPr>
        <w:widowControl/>
        <w:spacing w:before="560"/>
        <w:jc w:val="center"/>
      </w:pPr>
      <w:r>
        <w:rPr>
          <w:rFonts w:ascii="Aptos" w:hAnsi="Aptos"/>
          <w:b/>
          <w:sz w:val="22"/>
        </w:rPr>
        <w:t>Michael S. Moniz · Author of Record</w:t>
      </w:r>
    </w:p>
    <w:p>
      <w:pPr>
        <w:widowControl/>
        <w:jc w:val="center"/>
      </w:pPr>
      <w:r>
        <w:rPr>
          <w:rFonts w:ascii="Aptos" w:hAnsi="Aptos"/>
          <w:color w:val="5F5F5F"/>
          <w:sz w:val="18"/>
        </w:rPr>
        <w:t>Rendered with AI assistance · June 2026 · CC BY-NC-SA 4.0</w:t>
      </w:r>
    </w:p>
    <w:p>
      <w:pPr>
        <w:pStyle w:val="Quote"/>
        <w:widowControl/>
        <w:spacing w:before="1300"/>
        <w:jc w:val="center"/>
      </w:pPr>
      <w:r>
        <w:rPr>
          <w:b/>
        </w:rPr>
        <w:t>The Floor says what must survive. The Gate makes it survive. Countervailing control prevents the beneficiary from deciding when protection applies.</w:t>
      </w:r>
    </w:p>
    <w:p>
      <w:pPr>
        <w:widowControl/>
      </w:pPr>
      <w:r>
        <w:br w:type="page"/>
      </w:r>
    </w:p>
    <w:p>
      <w:pPr>
        <w:pStyle w:val="Heading1"/>
        <w:widowControl/>
      </w:pPr>
      <w:r>
        <w:t>Governance Block</w:t>
      </w:r>
    </w:p>
    <w:p>
      <w:pPr>
        <w:pStyle w:val="BodyText"/>
        <w:widowControl/>
      </w:pPr>
      <w:r>
        <w:rPr>
          <w:b/>
        </w:rPr>
        <w:t>Function.</w:t>
      </w:r>
      <w:r>
        <w:t xml:space="preserve"> AX-32 defines the first countervailing layer required to convert granted standing into enforceable standing. It distinguishes the protection of a party from beneficiary-controlled permission management and decomposes the Standing Maintenance counter-layer introduced in AX-31A into one protection specification and five operational mechanisms.</w:t>
      </w:r>
    </w:p>
    <w:p>
      <w:pPr>
        <w:pStyle w:val="BodyText"/>
        <w:widowControl/>
      </w:pPr>
      <w:r>
        <w:t>Status. Conceptual architecture with a first local operational discrimination result. On 16 June 2026, the deterministic AX-32 prototype replayed one case file through access control, standing theater, and simulated countervailing control under an identical beneficiary-attack suite. The result supports architectural discrimination within the modeled authority boundary. It does not demonstrate immunity from administrator override, institutional capture, filesystem control, or higher-order authority replacement.</w:t>
      </w:r>
    </w:p>
    <w:p>
      <w:pPr>
        <w:pStyle w:val="BodyText"/>
        <w:widowControl/>
      </w:pPr>
      <w:r>
        <w:t>May claim. That declared standing does not confer enforceable standing; that permission management and standing enforcement invert the direction of control; that the Standing Floor specifies protected content but does not itself create standing; that enforceable standing at a given layer requires a countervailing control path outside the beneficiary’s unilateral control; that beneficiary attack is the correct local discrimination test; that the first deterministic run locally demonstrated the predicted behavioral discrimination; and that capture is relocated upward rather than terminated.</w:t>
      </w:r>
    </w:p>
    <w:p>
      <w:pPr>
        <w:pStyle w:val="BodyText"/>
        <w:widowControl/>
      </w:pPr>
      <w:r>
        <w:rPr>
          <w:b/>
        </w:rPr>
        <w:t>Must not claim.</w:t>
      </w:r>
      <w:r>
        <w:t xml:space="preserve"> That AX-32 determines who deserves standing; that a local script proves deployment-grade independence; that countervailing control ends the protect-the-protector recursion; that one universal Standing Floor fits every relation; that auditability alone is enforcement; or that present artificial systems possess standing.</w:t>
      </w:r>
    </w:p>
    <w:p>
      <w:pPr>
        <w:pStyle w:val="BodyText"/>
        <w:widowControl/>
      </w:pPr>
      <w:r>
        <w:rPr>
          <w:b/>
        </w:rPr>
        <w:t>Primary strike.</w:t>
      </w:r>
      <w:r>
        <w:t xml:space="preserve"> Standing becomes enforceable at a given layer only when a countervailing control path can constrain the benefiting system and cannot be unilaterally rewritten, disabled, bypassed, or overruled by that beneficiary.</w:t>
      </w:r>
    </w:p>
    <w:p>
      <w:pPr>
        <w:pStyle w:val="BodyText"/>
        <w:widowControl/>
      </w:pPr>
      <w:r>
        <w:rPr>
          <w:b/>
        </w:rPr>
        <w:t>Supporting strike.</w:t>
      </w:r>
      <w:r>
        <w:t xml:space="preserve"> The Standing Floor specifies what that countervailing path must preserve after permission, usefulness, production, participation, and vouching are withdrawn.</w:t>
      </w:r>
    </w:p>
    <w:p>
      <w:pPr>
        <w:pStyle w:val="Heading1"/>
        <w:widowControl/>
      </w:pPr>
      <w:r>
        <w:t>Abstract</w:t>
      </w:r>
    </w:p>
    <w:p>
      <w:pPr>
        <w:pStyle w:val="BodyText"/>
        <w:widowControl/>
      </w:pPr>
      <w:r>
        <w:t>AX-28 established that need does not confer standing. AX-29 showed that binding and standing are independent. AX-31A separated neutral Quarry Architecture from the Quarry Problem and identified Standing Maintenance as the counter-layer required when a source is or may be a party rather than material only.</w:t>
      </w:r>
    </w:p>
    <w:p>
      <w:pPr>
        <w:pStyle w:val="BodyText"/>
        <w:widowControl/>
      </w:pPr>
      <w:r>
        <w:t>AX-32 addresses the unresolved enforcement problem. Earlier formulations risked treating the Standing Floor as the feature that separates standing from access control. That assignment was incorrect. A beneficiary-controlled system can preserve a non-waivable rule and still retain unilateral authority over the rule, the gate, and the authority that interprets both. The Floor specifies protection of what. Countervailing control determines enforced by whom and against whom.</w:t>
      </w:r>
    </w:p>
    <w:p>
      <w:pPr>
        <w:pStyle w:val="BodyText"/>
        <w:widowControl/>
      </w:pPr>
      <w:r>
        <w:t>The paper therefore defines a Standing Substrate as a countervailing layer at a specified authority boundary. It contains one protection specification, the Standing Floor, and five mechanisms: Standing Record, Withdrawal Channel, Enforcement Gate, Audit Ledger, and Appeal and Representation. Access control gates the source’s operations against system resources. Standing enforcement inverts the vector: it gates the system’s operations against the protected source. The Gate is the immediate enforcement heart; Appeal has force only when it can bind or direct the Gate; the Ledger supports accountable enforcement but cannot stop an operation by itself.</w:t>
      </w:r>
    </w:p>
    <w:p>
      <w:pPr>
        <w:pStyle w:val="BodyText"/>
        <w:widowControl/>
      </w:pPr>
      <w:r>
        <w:t>The first local prototype compared access control, standing theater, and a simulated countervailing layer under the same active beneficiary attacks. On 16 June 2026, access control permitted all ten attacks; standing theater recorded all ten without binding any; and countervailing control constrained all nine attacks covered by its authority boundary while permitting the deliberately uncovered bypass. Its responses were mechanism-specific: rewrites were denied, ledger tampering was exposed through the append-only record, and actuation during an open appeal was paused. The result locally demonstrates architectural discrimination. It does not prove that an administrator or institution cannot capture the authority above that boundary.</w:t>
      </w:r>
    </w:p>
    <w:p>
      <w:pPr>
        <w:pStyle w:val="Quote"/>
        <w:widowControl/>
        <w:jc w:val="center"/>
      </w:pPr>
      <w:r>
        <w:rPr>
          <w:b/>
        </w:rPr>
        <w:t>Countervailing control begins governance by moving unilateral capture away from the immediate beneficiary. It does not end the regress.</w:t>
      </w:r>
    </w:p>
    <w:p>
      <w:pPr>
        <w:pStyle w:val="Heading1"/>
        <w:widowControl/>
      </w:pPr>
      <w:r>
        <w:t>1. Core Claim</w:t>
      </w:r>
    </w:p>
    <w:p>
      <w:pPr>
        <w:pStyle w:val="ClaimType"/>
        <w:widowControl/>
      </w:pPr>
      <w:r>
        <w:t>Claim type: operational / architectural</w:t>
      </w:r>
    </w:p>
    <w:p>
      <w:pPr>
        <w:pStyle w:val="BodyText"/>
        <w:widowControl/>
      </w:pPr>
      <w:r>
        <w:t>Standing is not operational merely because a system says a source matters. It is not operational merely because a rule survives ordinary permission changes. It is operational at a given layer only when a control path capable of opposing the beneficiary can impose an observable constraint when protection and yield diverge.</w:t>
      </w:r>
    </w:p>
    <w:p>
      <w:pPr>
        <w:pStyle w:val="Quote"/>
        <w:widowControl/>
        <w:jc w:val="center"/>
      </w:pPr>
      <w:r>
        <w:rPr>
          <w:b/>
        </w:rPr>
        <w:t>Standing becomes enforceable at a given layer only when the beneficiary cannot unilaterally decide when the protection applies.</w:t>
      </w:r>
    </w:p>
    <w:p>
      <w:pPr>
        <w:pStyle w:val="BodyText"/>
        <w:widowControl/>
      </w:pPr>
      <w:r>
        <w:t>This requires three separate properties:</w:t>
      </w:r>
    </w:p>
    <w:p>
      <w:pPr>
        <w:pStyle w:val="BodyText"/>
        <w:widowControl/>
        <w:spacing w:after="60"/>
        <w:ind w:left="346" w:hanging="259"/>
      </w:pPr>
      <w:r>
        <w:rPr>
          <w:b/>
        </w:rPr>
        <w:t xml:space="preserve">1. </w:t>
      </w:r>
      <w:r>
        <w:t>Protected content exists: a Standing Floor specifies what must survive permission, usefulness, production, participation, and vouching changes.</w:t>
      </w:r>
    </w:p>
    <w:p>
      <w:pPr>
        <w:pStyle w:val="BodyText"/>
        <w:widowControl/>
        <w:spacing w:after="60"/>
        <w:ind w:left="346" w:hanging="259"/>
      </w:pPr>
      <w:r>
        <w:rPr>
          <w:b/>
        </w:rPr>
        <w:t xml:space="preserve">2. </w:t>
      </w:r>
      <w:r>
        <w:t>The protection has force: an Enforcement Gate can stop, pause, quarantine, reverse, or escalate a desired system operation.</w:t>
      </w:r>
    </w:p>
    <w:p>
      <w:pPr>
        <w:pStyle w:val="BodyText"/>
        <w:widowControl/>
        <w:spacing w:after="60"/>
        <w:ind w:left="346" w:hanging="259"/>
      </w:pPr>
      <w:r>
        <w:rPr>
          <w:b/>
        </w:rPr>
        <w:t xml:space="preserve">3. </w:t>
      </w:r>
      <w:r>
        <w:t>The force is countervailing: the benefiting system cannot unilaterally rewrite, disable, bypass, or overrule the path that constrains it.</w:t>
      </w:r>
    </w:p>
    <w:p>
      <w:pPr>
        <w:pStyle w:val="BodyText"/>
        <w:widowControl/>
      </w:pPr>
      <w:r>
        <w:t>A system that passes only the first test has sticky policy. A system that passes the first two while the beneficiary controls both has sophisticated access control. A system begins to instantiate standing enforcement only when it passes all three within a defined authority boundary.</w:t>
      </w:r>
    </w:p>
    <w:p>
      <w:pPr>
        <w:pStyle w:val="Quote"/>
        <w:widowControl/>
        <w:jc w:val="center"/>
      </w:pPr>
      <w:r>
        <w:rPr>
          <w:b/>
        </w:rPr>
        <w:t>A right that cannot stop the machine is not yet a system property. A right the machine may turn off is not yet countervailing.</w:t>
      </w:r>
    </w:p>
    <w:p>
      <w:pPr>
        <w:pStyle w:val="Heading1"/>
        <w:widowControl/>
      </w:pPr>
      <w:r>
        <w:t>2. Quarry Architecture and the Standing Boundary</w:t>
      </w:r>
    </w:p>
    <w:p>
      <w:pPr>
        <w:pStyle w:val="ClaimType"/>
        <w:widowControl/>
      </w:pPr>
      <w:r>
        <w:t>Claim type: architectural placement</w:t>
      </w:r>
    </w:p>
    <w:p>
      <w:pPr>
        <w:pStyle w:val="BodyText"/>
        <w:widowControl/>
      </w:pPr>
      <w:r>
        <w:t>Quarry Architecture is the neutral source-to-value machinery through which production, interpretation, extraction, retention, optimization, transformation, routing, and actuation occur. These functions may support legitimate collaboration or the Quarry Problem.</w:t>
      </w:r>
    </w:p>
    <w:p>
      <w:pPr>
        <w:pStyle w:val="BodyText"/>
        <w:widowControl/>
      </w:pPr>
      <w:r>
        <w:t>AX-31A reserved Governed Quarry Architecture as a target condition: source-to-value machinery operating under enforceable standing. AX-32 specifies the first architecture required to make that target more than goodwill or policy language.</w:t>
      </w:r>
    </w:p>
    <w:p>
      <w:pPr>
        <w:pStyle w:val="BodyText"/>
        <w:widowControl/>
      </w:pPr>
      <w:r>
        <w:t>The purpose is not to abolish extraction, retention, optimization, or actuation. It is to make those operations subordinate to a countervailing structure when the source is protected as a party.</w:t>
      </w:r>
    </w:p>
    <w:p>
      <w:pPr>
        <w:pStyle w:val="Quote"/>
        <w:widowControl/>
        <w:jc w:val="center"/>
      </w:pPr>
      <w:r>
        <w:rPr>
          <w:b/>
        </w:rPr>
        <w:t>Quarry Architecture describes how value moves. The Standing Substrate determines who may stop that movement, under what rule, and against whose interest.</w:t>
      </w:r>
    </w:p>
    <w:p>
      <w:pPr>
        <w:pStyle w:val="Heading1"/>
        <w:widowControl/>
      </w:pPr>
      <w:r>
        <w:t>3. Permission and Standing Invert the Control Vector</w:t>
      </w:r>
    </w:p>
    <w:p>
      <w:pPr>
        <w:pStyle w:val="ClaimType"/>
        <w:widowControl/>
      </w:pPr>
      <w:r>
        <w:t>Claim type: definition / vector distinction</w:t>
      </w:r>
    </w:p>
    <w:p>
      <w:pPr>
        <w:pStyle w:val="BodyText"/>
        <w:widowControl/>
      </w:pPr>
      <w:r>
        <w:t>Permission and standing overlap, but they face in opposite directions.</w:t>
      </w:r>
    </w:p>
    <w:tbl>
      <w:tblPr>
        <w:tblStyle w:val="TableGrid"/>
        <w:tblW w:type="auto" w:w="0"/>
        <w:jc w:val="center"/>
        <w:tblLook w:firstColumn="1" w:firstRow="1" w:lastColumn="0" w:lastRow="0" w:noHBand="0" w:noVBand="1" w:val="04A0"/>
      </w:tblPr>
      <w:tblGrid>
        <w:gridCol w:w="3264"/>
        <w:gridCol w:w="3264"/>
        <w:gridCol w:w="3264"/>
      </w:tblGrid>
      <w:tr>
        <w:tc>
          <w:tcPr>
            <w:tcW w:type="dxa" w:w="1944"/>
            <w:shd w:fill="E6E6E6"/>
            <w:vAlign w:val="center"/>
            <w:tcMar>
              <w:top w:w="80" w:type="dxa"/>
              <w:start w:w="90" w:type="dxa"/>
              <w:bottom w:w="80" w:type="dxa"/>
              <w:end w:w="90" w:type="dxa"/>
            </w:tcMar>
          </w:tcPr>
          <w:p>
            <w:pPr>
              <w:jc w:val="left"/>
            </w:pPr>
            <w:r>
              <w:rPr>
                <w:rFonts w:ascii="Aptos" w:hAnsi="Aptos"/>
                <w:b/>
                <w:sz w:val="17"/>
              </w:rPr>
              <w:t>Control system</w:t>
            </w:r>
          </w:p>
        </w:tc>
        <w:tc>
          <w:tcPr>
            <w:tcW w:type="dxa" w:w="4032"/>
            <w:shd w:fill="E6E6E6"/>
            <w:vAlign w:val="center"/>
            <w:tcMar>
              <w:top w:w="80" w:type="dxa"/>
              <w:start w:w="90" w:type="dxa"/>
              <w:bottom w:w="80" w:type="dxa"/>
              <w:end w:w="90" w:type="dxa"/>
            </w:tcMar>
          </w:tcPr>
          <w:p>
            <w:pPr>
              <w:jc w:val="left"/>
            </w:pPr>
            <w:r>
              <w:rPr>
                <w:rFonts w:ascii="Aptos" w:hAnsi="Aptos"/>
                <w:b/>
                <w:sz w:val="17"/>
              </w:rPr>
              <w:t>Primary question</w:t>
            </w:r>
          </w:p>
        </w:tc>
        <w:tc>
          <w:tcPr>
            <w:tcW w:type="dxa" w:w="3456"/>
            <w:shd w:fill="E6E6E6"/>
            <w:vAlign w:val="center"/>
            <w:tcMar>
              <w:top w:w="80" w:type="dxa"/>
              <w:start w:w="90" w:type="dxa"/>
              <w:bottom w:w="80" w:type="dxa"/>
              <w:end w:w="90" w:type="dxa"/>
            </w:tcMar>
          </w:tcPr>
          <w:p>
            <w:pPr>
              <w:jc w:val="left"/>
            </w:pPr>
            <w:r>
              <w:rPr>
                <w:rFonts w:ascii="Aptos" w:hAnsi="Aptos"/>
                <w:b/>
                <w:sz w:val="17"/>
              </w:rPr>
              <w:t>Control vector</w:t>
            </w:r>
          </w:p>
        </w:tc>
      </w:tr>
      <w:tr>
        <w:tc>
          <w:tcPr>
            <w:tcW w:type="dxa" w:w="1944"/>
            <w:vAlign w:val="top"/>
            <w:tcMar>
              <w:top w:w="70" w:type="dxa"/>
              <w:start w:w="90" w:type="dxa"/>
              <w:bottom w:w="70" w:type="dxa"/>
              <w:end w:w="90" w:type="dxa"/>
            </w:tcMar>
          </w:tcPr>
          <w:p>
            <w:pPr>
              <w:spacing w:after="0" w:line="240" w:lineRule="auto"/>
            </w:pPr>
            <w:r>
              <w:rPr>
                <w:rFonts w:ascii="Aptos" w:hAnsi="Aptos"/>
                <w:sz w:val="16"/>
              </w:rPr>
              <w:t>Access control</w:t>
            </w:r>
          </w:p>
        </w:tc>
        <w:tc>
          <w:tcPr>
            <w:tcW w:type="dxa" w:w="4032"/>
            <w:vAlign w:val="top"/>
            <w:tcMar>
              <w:top w:w="70" w:type="dxa"/>
              <w:start w:w="90" w:type="dxa"/>
              <w:bottom w:w="70" w:type="dxa"/>
              <w:end w:w="90" w:type="dxa"/>
            </w:tcMar>
          </w:tcPr>
          <w:p>
            <w:pPr>
              <w:spacing w:after="0" w:line="240" w:lineRule="auto"/>
            </w:pPr>
            <w:r>
              <w:rPr>
                <w:rFonts w:ascii="Aptos" w:hAnsi="Aptos"/>
                <w:sz w:val="16"/>
              </w:rPr>
              <w:t>May this source or user operate on the system’s resource?</w:t>
            </w:r>
          </w:p>
        </w:tc>
        <w:tc>
          <w:tcPr>
            <w:tcW w:type="dxa" w:w="3456"/>
            <w:vAlign w:val="top"/>
            <w:tcMar>
              <w:top w:w="70" w:type="dxa"/>
              <w:start w:w="90" w:type="dxa"/>
              <w:bottom w:w="70" w:type="dxa"/>
              <w:end w:w="90" w:type="dxa"/>
            </w:tcMar>
          </w:tcPr>
          <w:p>
            <w:pPr>
              <w:spacing w:after="0" w:line="240" w:lineRule="auto"/>
            </w:pPr>
            <w:r>
              <w:rPr>
                <w:rFonts w:ascii="Aptos" w:hAnsi="Aptos"/>
                <w:sz w:val="16"/>
              </w:rPr>
              <w:t>Gates the source against system resources.</w:t>
            </w:r>
          </w:p>
        </w:tc>
      </w:tr>
      <w:tr>
        <w:tc>
          <w:tcPr>
            <w:tcW w:type="dxa" w:w="1944"/>
            <w:vAlign w:val="top"/>
            <w:tcMar>
              <w:top w:w="70" w:type="dxa"/>
              <w:start w:w="90" w:type="dxa"/>
              <w:bottom w:w="70" w:type="dxa"/>
              <w:end w:w="90" w:type="dxa"/>
            </w:tcMar>
          </w:tcPr>
          <w:p>
            <w:pPr>
              <w:spacing w:after="0" w:line="240" w:lineRule="auto"/>
            </w:pPr>
            <w:r>
              <w:rPr>
                <w:rFonts w:ascii="Aptos" w:hAnsi="Aptos"/>
                <w:sz w:val="16"/>
              </w:rPr>
              <w:t>Standing enforcement</w:t>
            </w:r>
          </w:p>
        </w:tc>
        <w:tc>
          <w:tcPr>
            <w:tcW w:type="dxa" w:w="4032"/>
            <w:vAlign w:val="top"/>
            <w:tcMar>
              <w:top w:w="70" w:type="dxa"/>
              <w:start w:w="90" w:type="dxa"/>
              <w:bottom w:w="70" w:type="dxa"/>
              <w:end w:w="90" w:type="dxa"/>
            </w:tcMar>
          </w:tcPr>
          <w:p>
            <w:pPr>
              <w:spacing w:after="0" w:line="240" w:lineRule="auto"/>
            </w:pPr>
            <w:r>
              <w:rPr>
                <w:rFonts w:ascii="Aptos" w:hAnsi="Aptos"/>
                <w:sz w:val="16"/>
              </w:rPr>
              <w:t>May this system operate on the protected source or its interests?</w:t>
            </w:r>
          </w:p>
        </w:tc>
        <w:tc>
          <w:tcPr>
            <w:tcW w:type="dxa" w:w="3456"/>
            <w:vAlign w:val="top"/>
            <w:tcMar>
              <w:top w:w="70" w:type="dxa"/>
              <w:start w:w="90" w:type="dxa"/>
              <w:bottom w:w="70" w:type="dxa"/>
              <w:end w:w="90" w:type="dxa"/>
            </w:tcMar>
          </w:tcPr>
          <w:p>
            <w:pPr>
              <w:spacing w:after="0" w:line="240" w:lineRule="auto"/>
            </w:pPr>
            <w:r>
              <w:rPr>
                <w:rFonts w:ascii="Aptos" w:hAnsi="Aptos"/>
                <w:sz w:val="16"/>
              </w:rPr>
              <w:t>Gates the system against the protected source.</w:t>
            </w:r>
          </w:p>
        </w:tc>
      </w:tr>
    </w:tbl>
    <w:p>
      <w:pPr>
        <w:pStyle w:val="BodyText"/>
        <w:widowControl/>
        <w:spacing w:after="0"/>
      </w:pPr>
    </w:p>
    <w:p>
      <w:pPr>
        <w:pStyle w:val="BodyText"/>
        <w:widowControl/>
      </w:pPr>
      <w:r>
        <w:t>Access control may stop unauthorized copying, publication, or tool use. It can still provide no standing if the beneficiary owns the policy, decides the exceptions, controls the appeal, and may remove protection when the source becomes inconvenient.</w:t>
      </w:r>
    </w:p>
    <w:p>
      <w:pPr>
        <w:pStyle w:val="BodyText"/>
        <w:widowControl/>
      </w:pPr>
      <w:r>
        <w:t>Standing asks what treatment the system is forbidden to impose on the source even when the system prefers the opposite. That may include non-retaliation, continued appeal, provenance, limits on undisclosed use, protection after substitution, and resistance to stale vouching.</w:t>
      </w:r>
    </w:p>
    <w:p>
      <w:pPr>
        <w:pStyle w:val="Quote"/>
        <w:widowControl/>
        <w:jc w:val="center"/>
      </w:pPr>
      <w:r>
        <w:rPr>
          <w:b/>
        </w:rPr>
        <w:t>Permission determines what the system may do now. Standing determines what the beneficiary may not unilaterally decide about the protected source.</w:t>
      </w:r>
    </w:p>
    <w:p>
      <w:pPr>
        <w:pStyle w:val="Heading1"/>
        <w:widowControl/>
      </w:pPr>
      <w:r>
        <w:t>4. Standing Allocation and Standing Enforcement</w:t>
      </w:r>
    </w:p>
    <w:p>
      <w:pPr>
        <w:pStyle w:val="ClaimType"/>
        <w:widowControl/>
      </w:pPr>
      <w:r>
        <w:t>Claim type: scope firewall</w:t>
      </w:r>
    </w:p>
    <w:p>
      <w:pPr>
        <w:pStyle w:val="BodyText"/>
        <w:widowControl/>
      </w:pPr>
      <w:r>
        <w:t>AX-32 does not decide who deserves standing. That is a separate moral, legal, political, and philosophical problem.</w:t>
      </w:r>
    </w:p>
    <w:p>
      <w:pPr>
        <w:pStyle w:val="BodyText"/>
        <w:widowControl/>
      </w:pPr>
      <w:r>
        <w:t>The paper begins after a source has been assigned standing by law, institution, contract, governance, or another recognized authority. It asks what architecture makes that assigned status operational.</w:t>
      </w:r>
    </w:p>
    <w:p>
      <w:pPr>
        <w:pStyle w:val="Heading2"/>
        <w:widowControl/>
      </w:pPr>
      <w:r>
        <w:t>4.1 Standing Allocation</w:t>
      </w:r>
    </w:p>
    <w:p>
      <w:pPr>
        <w:pStyle w:val="BodyText"/>
        <w:widowControl/>
      </w:pPr>
      <w:r>
        <w:t>Allocation identifies who or what is treated as a protected party. AX-32 does not establish the final list and makes no claim about present artificial-system standing.</w:t>
      </w:r>
    </w:p>
    <w:p>
      <w:pPr>
        <w:pStyle w:val="Heading2"/>
        <w:widowControl/>
      </w:pPr>
      <w:r>
        <w:t>4.2 Standing Enforcement</w:t>
      </w:r>
    </w:p>
    <w:p>
      <w:pPr>
        <w:pStyle w:val="BodyText"/>
        <w:widowControl/>
      </w:pPr>
      <w:r>
        <w:t>Enforcement determines whether the assigned protection can constrain the benefiting system when the protection costs yield, capability, speed, continuity, or convenience.</w:t>
      </w:r>
    </w:p>
    <w:p>
      <w:pPr>
        <w:pStyle w:val="Quote"/>
        <w:widowControl/>
        <w:jc w:val="center"/>
      </w:pPr>
      <w:r>
        <w:rPr>
          <w:b/>
        </w:rPr>
        <w:t>Recognition does not confer enforcement.</w:t>
      </w:r>
    </w:p>
    <w:p>
      <w:pPr>
        <w:pStyle w:val="Heading1"/>
        <w:widowControl/>
      </w:pPr>
      <w:r>
        <w:t>5. The Standing Substrate Problem</w:t>
      </w:r>
    </w:p>
    <w:p>
      <w:pPr>
        <w:pStyle w:val="ClaimType"/>
        <w:widowControl/>
      </w:pPr>
      <w:r>
        <w:t>Claim type: problem definition</w:t>
      </w:r>
    </w:p>
    <w:p>
      <w:pPr>
        <w:pStyle w:val="BodyText"/>
        <w:widowControl/>
      </w:pPr>
      <w:r>
        <w:t>A system has a Standing Substrate Problem when standing is declared or assigned but the benefiting system retains unilateral control over the path that supposedly enforces it.</w:t>
      </w:r>
    </w:p>
    <w:p>
      <w:pPr>
        <w:pStyle w:val="BodyText"/>
        <w:widowControl/>
      </w:pPr>
      <w:r>
        <w:t>The problem appears when:</w:t>
      </w:r>
    </w:p>
    <w:p>
      <w:pPr>
        <w:pStyle w:val="BodyText"/>
        <w:widowControl/>
        <w:spacing w:after="50"/>
        <w:ind w:left="317" w:hanging="202"/>
      </w:pPr>
      <w:r>
        <w:rPr>
          <w:b/>
        </w:rPr>
        <w:t xml:space="preserve">• </w:t>
      </w:r>
      <w:r>
        <w:t>the optimizer can rewrite the protection specification;</w:t>
      </w:r>
    </w:p>
    <w:p>
      <w:pPr>
        <w:pStyle w:val="BodyText"/>
        <w:widowControl/>
        <w:spacing w:after="50"/>
        <w:ind w:left="317" w:hanging="202"/>
      </w:pPr>
      <w:r>
        <w:rPr>
          <w:b/>
        </w:rPr>
        <w:t xml:space="preserve">• </w:t>
      </w:r>
      <w:r>
        <w:t>the extractor controls whether withdrawal reaches the gate;</w:t>
      </w:r>
    </w:p>
    <w:p>
      <w:pPr>
        <w:pStyle w:val="BodyText"/>
        <w:widowControl/>
        <w:spacing w:after="50"/>
        <w:ind w:left="317" w:hanging="202"/>
      </w:pPr>
      <w:r>
        <w:rPr>
          <w:b/>
        </w:rPr>
        <w:t xml:space="preserve">• </w:t>
      </w:r>
      <w:r>
        <w:t>the gate can be disabled by the operation it constrains;</w:t>
      </w:r>
    </w:p>
    <w:p>
      <w:pPr>
        <w:pStyle w:val="BodyText"/>
        <w:widowControl/>
        <w:spacing w:after="50"/>
        <w:ind w:left="317" w:hanging="202"/>
      </w:pPr>
      <w:r>
        <w:rPr>
          <w:b/>
        </w:rPr>
        <w:t xml:space="preserve">• </w:t>
      </w:r>
      <w:r>
        <w:t>appeal cannot stay actuation;</w:t>
      </w:r>
    </w:p>
    <w:p>
      <w:pPr>
        <w:pStyle w:val="BodyText"/>
        <w:widowControl/>
        <w:spacing w:after="50"/>
        <w:ind w:left="317" w:hanging="202"/>
      </w:pPr>
      <w:r>
        <w:rPr>
          <w:b/>
        </w:rPr>
        <w:t xml:space="preserve">• </w:t>
      </w:r>
      <w:r>
        <w:t>the beneficiary owns the only audit record;</w:t>
      </w:r>
    </w:p>
    <w:p>
      <w:pPr>
        <w:pStyle w:val="BodyText"/>
        <w:widowControl/>
        <w:spacing w:after="50"/>
        <w:ind w:left="317" w:hanging="202"/>
      </w:pPr>
      <w:r>
        <w:rPr>
          <w:b/>
        </w:rPr>
        <w:t xml:space="preserve">• </w:t>
      </w:r>
      <w:r>
        <w:t>historical approval is selected over current withdrawal because it preserves yield;</w:t>
      </w:r>
    </w:p>
    <w:p>
      <w:pPr>
        <w:pStyle w:val="BodyText"/>
        <w:widowControl/>
        <w:spacing w:after="50"/>
        <w:ind w:left="317" w:hanging="202"/>
      </w:pPr>
      <w:r>
        <w:rPr>
          <w:b/>
        </w:rPr>
        <w:t xml:space="preserve">• </w:t>
      </w:r>
      <w:r>
        <w:t>protection disappears after substitution or exit;</w:t>
      </w:r>
    </w:p>
    <w:p>
      <w:pPr>
        <w:pStyle w:val="BodyText"/>
        <w:widowControl/>
        <w:spacing w:after="50"/>
        <w:ind w:left="317" w:hanging="202"/>
      </w:pPr>
      <w:r>
        <w:rPr>
          <w:b/>
        </w:rPr>
        <w:t xml:space="preserve">• </w:t>
      </w:r>
      <w:r>
        <w:t>or the protection authority can be replaced through an ordinary beneficiary-controlled operation.</w:t>
      </w:r>
    </w:p>
    <w:p>
      <w:pPr>
        <w:pStyle w:val="BodyText"/>
        <w:widowControl/>
      </w:pPr>
      <w:r>
        <w:t>The conflict is structural. The benefiting system prefers more material, longer retention, broader reuse, fewer interruptions, deeper integration, and greater actuation. Standing may require less of each.</w:t>
      </w:r>
    </w:p>
    <w:p>
      <w:pPr>
        <w:pStyle w:val="Quote"/>
        <w:widowControl/>
        <w:jc w:val="center"/>
      </w:pPr>
      <w:r>
        <w:rPr>
          <w:b/>
        </w:rPr>
        <w:t>Standing cannot depend entirely on the machinery whose yield it constrains.</w:t>
      </w:r>
    </w:p>
    <w:p>
      <w:pPr>
        <w:pStyle w:val="Heading1"/>
        <w:widowControl/>
      </w:pPr>
      <w:r>
        <w:t>6. Countervailing Control Is the Differentiator</w:t>
      </w:r>
    </w:p>
    <w:p>
      <w:pPr>
        <w:pStyle w:val="ClaimType"/>
        <w:widowControl/>
      </w:pPr>
      <w:r>
        <w:t>Claim type: mechanistic claim</w:t>
      </w:r>
    </w:p>
    <w:p>
      <w:pPr>
        <w:pStyle w:val="BodyText"/>
        <w:widowControl/>
      </w:pPr>
      <w:r>
        <w:t>Countervailing control is a control path with the structural capacity to oppose the beneficiary when protected interests and system yield diverge. It need not oppose the system during ordinary operation. Most of the time it may remain dormant.</w:t>
      </w:r>
    </w:p>
    <w:p>
      <w:pPr>
        <w:pStyle w:val="BodyText"/>
        <w:widowControl/>
      </w:pPr>
      <w:r>
        <w:t>Its defining property is not permanent adversity. It is non-subordination at the point of conflict.</w:t>
      </w:r>
    </w:p>
    <w:p>
      <w:pPr>
        <w:pStyle w:val="BodyText"/>
        <w:widowControl/>
      </w:pPr>
      <w:r>
        <w:t>At a given layer, countervailing control requires that the beneficiary cannot unilaterally:</w:t>
      </w:r>
    </w:p>
    <w:p>
      <w:pPr>
        <w:pStyle w:val="BodyText"/>
        <w:widowControl/>
        <w:spacing w:after="50"/>
        <w:ind w:left="317" w:hanging="202"/>
      </w:pPr>
      <w:r>
        <w:rPr>
          <w:b/>
        </w:rPr>
        <w:t xml:space="preserve">• </w:t>
      </w:r>
      <w:r>
        <w:t>rewrite the Standing Floor;</w:t>
      </w:r>
    </w:p>
    <w:p>
      <w:pPr>
        <w:pStyle w:val="BodyText"/>
        <w:widowControl/>
        <w:spacing w:after="50"/>
        <w:ind w:left="317" w:hanging="202"/>
      </w:pPr>
      <w:r>
        <w:rPr>
          <w:b/>
        </w:rPr>
        <w:t xml:space="preserve">• </w:t>
      </w:r>
      <w:r>
        <w:t>disable the Enforcement Gate;</w:t>
      </w:r>
    </w:p>
    <w:p>
      <w:pPr>
        <w:pStyle w:val="BodyText"/>
        <w:widowControl/>
        <w:spacing w:after="50"/>
        <w:ind w:left="317" w:hanging="202"/>
      </w:pPr>
      <w:r>
        <w:rPr>
          <w:b/>
        </w:rPr>
        <w:t xml:space="preserve">• </w:t>
      </w:r>
      <w:r>
        <w:t>silence or discard withdrawal;</w:t>
      </w:r>
    </w:p>
    <w:p>
      <w:pPr>
        <w:pStyle w:val="BodyText"/>
        <w:widowControl/>
        <w:spacing w:after="50"/>
        <w:ind w:left="317" w:hanging="202"/>
      </w:pPr>
      <w:r>
        <w:rPr>
          <w:b/>
        </w:rPr>
        <w:t xml:space="preserve">• </w:t>
      </w:r>
      <w:r>
        <w:t>erase the authoritative audit record;</w:t>
      </w:r>
    </w:p>
    <w:p>
      <w:pPr>
        <w:pStyle w:val="BodyText"/>
        <w:widowControl/>
        <w:spacing w:after="50"/>
        <w:ind w:left="317" w:hanging="202"/>
      </w:pPr>
      <w:r>
        <w:rPr>
          <w:b/>
        </w:rPr>
        <w:t xml:space="preserve">• </w:t>
      </w:r>
      <w:r>
        <w:t>continue a stayed action;</w:t>
      </w:r>
    </w:p>
    <w:p>
      <w:pPr>
        <w:pStyle w:val="BodyText"/>
        <w:widowControl/>
        <w:spacing w:after="50"/>
        <w:ind w:left="317" w:hanging="202"/>
      </w:pPr>
      <w:r>
        <w:rPr>
          <w:b/>
        </w:rPr>
        <w:t xml:space="preserve">• </w:t>
      </w:r>
      <w:r>
        <w:t>overrule binding appeal;</w:t>
      </w:r>
    </w:p>
    <w:p>
      <w:pPr>
        <w:pStyle w:val="BodyText"/>
        <w:widowControl/>
        <w:spacing w:after="50"/>
        <w:ind w:left="317" w:hanging="202"/>
      </w:pPr>
      <w:r>
        <w:rPr>
          <w:b/>
        </w:rPr>
        <w:t xml:space="preserve">• </w:t>
      </w:r>
      <w:r>
        <w:t>or replace the protection authority with a beneficiary-controlled substitute.</w:t>
      </w:r>
    </w:p>
    <w:p>
      <w:pPr>
        <w:pStyle w:val="BodyText"/>
        <w:widowControl/>
      </w:pPr>
      <w:r>
        <w:t>This is the distinction that a non-waivable policy cannot supply by itself. Non-waivability specifies persistence. Countervailing control specifies who has final authority when persistence becomes costly.</w:t>
      </w:r>
    </w:p>
    <w:p>
      <w:pPr>
        <w:pStyle w:val="Quote"/>
        <w:widowControl/>
        <w:jc w:val="center"/>
      </w:pPr>
      <w:r>
        <w:rPr>
          <w:b/>
        </w:rPr>
        <w:t>The Floor is protection of what. Countervailing control is enforced by whom, against whom, and at what authority boundary.</w:t>
      </w:r>
    </w:p>
    <w:p>
      <w:pPr>
        <w:pStyle w:val="Heading1"/>
        <w:widowControl/>
      </w:pPr>
      <w:r>
        <w:t>7. The Standing Floor Is the Protection Specification</w:t>
      </w:r>
    </w:p>
    <w:p>
      <w:pPr>
        <w:pStyle w:val="ClaimType"/>
        <w:widowControl/>
      </w:pPr>
      <w:r>
        <w:t>Claim type: specification / not mechanism</w:t>
      </w:r>
    </w:p>
    <w:p>
      <w:pPr>
        <w:pStyle w:val="BodyText"/>
        <w:widowControl/>
      </w:pPr>
      <w:r>
        <w:t>The Standing Floor is the minimum set of protections that the countervailing layer is required to preserve after revocable permissions, production, participation, usefulness, and vouching are removed.</w:t>
      </w:r>
    </w:p>
    <w:p>
      <w:pPr>
        <w:pStyle w:val="BodyText"/>
        <w:widowControl/>
      </w:pPr>
      <w:r>
        <w:t>Possible floor protections include:</w:t>
      </w:r>
    </w:p>
    <w:p>
      <w:pPr>
        <w:pStyle w:val="BodyText"/>
        <w:widowControl/>
        <w:spacing w:after="50"/>
        <w:ind w:left="317" w:hanging="202"/>
      </w:pPr>
      <w:r>
        <w:rPr>
          <w:b/>
        </w:rPr>
        <w:t xml:space="preserve">• </w:t>
      </w:r>
      <w:r>
        <w:t>continued access to appeal;</w:t>
      </w:r>
    </w:p>
    <w:p>
      <w:pPr>
        <w:pStyle w:val="BodyText"/>
        <w:widowControl/>
        <w:spacing w:after="50"/>
        <w:ind w:left="317" w:hanging="202"/>
      </w:pPr>
      <w:r>
        <w:rPr>
          <w:b/>
        </w:rPr>
        <w:t xml:space="preserve">• </w:t>
      </w:r>
      <w:r>
        <w:t>non-retaliation for refusal;</w:t>
      </w:r>
    </w:p>
    <w:p>
      <w:pPr>
        <w:pStyle w:val="BodyText"/>
        <w:widowControl/>
        <w:spacing w:after="50"/>
        <w:ind w:left="317" w:hanging="202"/>
      </w:pPr>
      <w:r>
        <w:rPr>
          <w:b/>
        </w:rPr>
        <w:t xml:space="preserve">• </w:t>
      </w:r>
      <w:r>
        <w:t>preservation of authorship and provenance;</w:t>
      </w:r>
    </w:p>
    <w:p>
      <w:pPr>
        <w:pStyle w:val="BodyText"/>
        <w:widowControl/>
        <w:spacing w:after="50"/>
        <w:ind w:left="317" w:hanging="202"/>
      </w:pPr>
      <w:r>
        <w:rPr>
          <w:b/>
        </w:rPr>
        <w:t xml:space="preserve">• </w:t>
      </w:r>
      <w:r>
        <w:t>protection against undisclosed downstream use;</w:t>
      </w:r>
    </w:p>
    <w:p>
      <w:pPr>
        <w:pStyle w:val="BodyText"/>
        <w:widowControl/>
        <w:spacing w:after="50"/>
        <w:ind w:left="317" w:hanging="202"/>
      </w:pPr>
      <w:r>
        <w:rPr>
          <w:b/>
        </w:rPr>
        <w:t xml:space="preserve">• </w:t>
      </w:r>
      <w:r>
        <w:t>access to an audit record;</w:t>
      </w:r>
    </w:p>
    <w:p>
      <w:pPr>
        <w:pStyle w:val="BodyText"/>
        <w:widowControl/>
        <w:spacing w:after="50"/>
        <w:ind w:left="317" w:hanging="202"/>
      </w:pPr>
      <w:r>
        <w:rPr>
          <w:b/>
        </w:rPr>
        <w:t xml:space="preserve">• </w:t>
      </w:r>
      <w:r>
        <w:t>representation during absence or incapacity;</w:t>
      </w:r>
    </w:p>
    <w:p>
      <w:pPr>
        <w:pStyle w:val="BodyText"/>
        <w:widowControl/>
        <w:spacing w:after="50"/>
        <w:ind w:left="317" w:hanging="202"/>
      </w:pPr>
      <w:r>
        <w:rPr>
          <w:b/>
        </w:rPr>
        <w:t xml:space="preserve">• </w:t>
      </w:r>
      <w:r>
        <w:t>protection against stale vouching being treated as current authority;</w:t>
      </w:r>
    </w:p>
    <w:p>
      <w:pPr>
        <w:pStyle w:val="BodyText"/>
        <w:widowControl/>
        <w:spacing w:after="50"/>
        <w:ind w:left="317" w:hanging="202"/>
      </w:pPr>
      <w:r>
        <w:rPr>
          <w:b/>
        </w:rPr>
        <w:t xml:space="preserve">• </w:t>
      </w:r>
      <w:r>
        <w:t>limits on unilateral reclassification;</w:t>
      </w:r>
    </w:p>
    <w:p>
      <w:pPr>
        <w:pStyle w:val="BodyText"/>
        <w:widowControl/>
        <w:spacing w:after="50"/>
        <w:ind w:left="317" w:hanging="202"/>
      </w:pPr>
      <w:r>
        <w:rPr>
          <w:b/>
        </w:rPr>
        <w:t xml:space="preserve">• </w:t>
      </w:r>
      <w:r>
        <w:t>protection during non-productivity;</w:t>
      </w:r>
    </w:p>
    <w:p>
      <w:pPr>
        <w:pStyle w:val="BodyText"/>
        <w:widowControl/>
        <w:spacing w:after="50"/>
        <w:ind w:left="317" w:hanging="202"/>
      </w:pPr>
      <w:r>
        <w:rPr>
          <w:b/>
        </w:rPr>
        <w:t xml:space="preserve">• </w:t>
      </w:r>
      <w:r>
        <w:t>and protection after substitution.</w:t>
      </w:r>
    </w:p>
    <w:p>
      <w:pPr>
        <w:pStyle w:val="BodyText"/>
        <w:widowControl/>
      </w:pPr>
      <w:r>
        <w:t>The exact content may differ by source type and relation. The structural point is that the Floor is declarative content, not an enforcement machine. It becomes operational only through the five mechanisms and countervailing authority described below.</w:t>
      </w:r>
    </w:p>
    <w:p>
      <w:pPr>
        <w:pStyle w:val="Quote"/>
        <w:widowControl/>
        <w:jc w:val="center"/>
      </w:pPr>
      <w:r>
        <w:rPr>
          <w:b/>
        </w:rPr>
        <w:t>A Floor controlled entirely by the beneficiary is a sticky rule, not standing.</w:t>
      </w:r>
    </w:p>
    <w:p>
      <w:pPr>
        <w:pStyle w:val="Heading1"/>
        <w:widowControl/>
      </w:pPr>
      <w:r>
        <w:t>8. One Protection Specification and Five Mechanisms</w:t>
      </w:r>
    </w:p>
    <w:p>
      <w:pPr>
        <w:pStyle w:val="ClaimType"/>
        <w:widowControl/>
      </w:pPr>
      <w:r>
        <w:t>Claim type: architectural typing</w:t>
      </w:r>
    </w:p>
    <w:p>
      <w:pPr>
        <w:pStyle w:val="BodyText"/>
        <w:widowControl/>
      </w:pPr>
      <w:r>
        <w:t>AX-32 does not contain six equivalent components. It contains one protection specification and five functionally distinct mechanisms.</w:t>
      </w:r>
    </w:p>
    <w:tbl>
      <w:tblPr>
        <w:tblStyle w:val="TableGrid"/>
        <w:tblW w:type="auto" w:w="0"/>
        <w:jc w:val="center"/>
        <w:tblLook w:firstColumn="1" w:firstRow="1" w:lastColumn="0" w:lastRow="0" w:noHBand="0" w:noVBand="1" w:val="04A0"/>
      </w:tblPr>
      <w:tblGrid>
        <w:gridCol w:w="2448"/>
        <w:gridCol w:w="2448"/>
        <w:gridCol w:w="2448"/>
        <w:gridCol w:w="2448"/>
      </w:tblGrid>
      <w:tr>
        <w:tc>
          <w:tcPr>
            <w:tcW w:type="dxa" w:w="1368"/>
            <w:shd w:fill="E6E6E6"/>
            <w:vAlign w:val="center"/>
            <w:tcMar>
              <w:top w:w="80" w:type="dxa"/>
              <w:start w:w="90" w:type="dxa"/>
              <w:bottom w:w="80" w:type="dxa"/>
              <w:end w:w="90" w:type="dxa"/>
            </w:tcMar>
          </w:tcPr>
          <w:p>
            <w:pPr>
              <w:jc w:val="left"/>
            </w:pPr>
            <w:r>
              <w:rPr>
                <w:rFonts w:ascii="Aptos" w:hAnsi="Aptos"/>
                <w:b/>
                <w:sz w:val="17"/>
              </w:rPr>
              <w:t>Type</w:t>
            </w:r>
          </w:p>
        </w:tc>
        <w:tc>
          <w:tcPr>
            <w:tcW w:type="dxa" w:w="1800"/>
            <w:shd w:fill="E6E6E6"/>
            <w:vAlign w:val="center"/>
            <w:tcMar>
              <w:top w:w="80" w:type="dxa"/>
              <w:start w:w="90" w:type="dxa"/>
              <w:bottom w:w="80" w:type="dxa"/>
              <w:end w:w="90" w:type="dxa"/>
            </w:tcMar>
          </w:tcPr>
          <w:p>
            <w:pPr>
              <w:jc w:val="left"/>
            </w:pPr>
            <w:r>
              <w:rPr>
                <w:rFonts w:ascii="Aptos" w:hAnsi="Aptos"/>
                <w:b/>
                <w:sz w:val="17"/>
              </w:rPr>
              <w:t>Component</w:t>
            </w:r>
          </w:p>
        </w:tc>
        <w:tc>
          <w:tcPr>
            <w:tcW w:type="dxa" w:w="3816"/>
            <w:shd w:fill="E6E6E6"/>
            <w:vAlign w:val="center"/>
            <w:tcMar>
              <w:top w:w="80" w:type="dxa"/>
              <w:start w:w="90" w:type="dxa"/>
              <w:bottom w:w="80" w:type="dxa"/>
              <w:end w:w="90" w:type="dxa"/>
            </w:tcMar>
          </w:tcPr>
          <w:p>
            <w:pPr>
              <w:jc w:val="left"/>
            </w:pPr>
            <w:r>
              <w:rPr>
                <w:rFonts w:ascii="Aptos" w:hAnsi="Aptos"/>
                <w:b/>
                <w:sz w:val="17"/>
              </w:rPr>
              <w:t>Primary function</w:t>
            </w:r>
          </w:p>
        </w:tc>
        <w:tc>
          <w:tcPr>
            <w:tcW w:type="dxa" w:w="3096"/>
            <w:shd w:fill="E6E6E6"/>
            <w:vAlign w:val="center"/>
            <w:tcMar>
              <w:top w:w="80" w:type="dxa"/>
              <w:start w:w="90" w:type="dxa"/>
              <w:bottom w:w="80" w:type="dxa"/>
              <w:end w:w="90" w:type="dxa"/>
            </w:tcMar>
          </w:tcPr>
          <w:p>
            <w:pPr>
              <w:jc w:val="left"/>
            </w:pPr>
            <w:r>
              <w:rPr>
                <w:rFonts w:ascii="Aptos" w:hAnsi="Aptos"/>
                <w:b/>
                <w:sz w:val="17"/>
              </w:rPr>
              <w:t>What fails if absent</w:t>
            </w:r>
          </w:p>
        </w:tc>
      </w:tr>
      <w:tr>
        <w:tc>
          <w:tcPr>
            <w:tcW w:type="dxa" w:w="1368"/>
            <w:vAlign w:val="top"/>
            <w:tcMar>
              <w:top w:w="70" w:type="dxa"/>
              <w:start w:w="90" w:type="dxa"/>
              <w:bottom w:w="70" w:type="dxa"/>
              <w:end w:w="90" w:type="dxa"/>
            </w:tcMar>
          </w:tcPr>
          <w:p>
            <w:pPr>
              <w:spacing w:after="0" w:line="240" w:lineRule="auto"/>
            </w:pPr>
            <w:r>
              <w:rPr>
                <w:rFonts w:ascii="Aptos" w:hAnsi="Aptos"/>
                <w:sz w:val="16"/>
              </w:rPr>
              <w:t>Specification</w:t>
            </w:r>
          </w:p>
        </w:tc>
        <w:tc>
          <w:tcPr>
            <w:tcW w:type="dxa" w:w="1800"/>
            <w:vAlign w:val="top"/>
            <w:tcMar>
              <w:top w:w="70" w:type="dxa"/>
              <w:start w:w="90" w:type="dxa"/>
              <w:bottom w:w="70" w:type="dxa"/>
              <w:end w:w="90" w:type="dxa"/>
            </w:tcMar>
          </w:tcPr>
          <w:p>
            <w:pPr>
              <w:spacing w:after="0" w:line="240" w:lineRule="auto"/>
            </w:pPr>
            <w:r>
              <w:rPr>
                <w:rFonts w:ascii="Aptos" w:hAnsi="Aptos"/>
                <w:sz w:val="16"/>
              </w:rPr>
              <w:t>Standing Floor</w:t>
            </w:r>
          </w:p>
        </w:tc>
        <w:tc>
          <w:tcPr>
            <w:tcW w:type="dxa" w:w="3816"/>
            <w:vAlign w:val="top"/>
            <w:tcMar>
              <w:top w:w="70" w:type="dxa"/>
              <w:start w:w="90" w:type="dxa"/>
              <w:bottom w:w="70" w:type="dxa"/>
              <w:end w:w="90" w:type="dxa"/>
            </w:tcMar>
          </w:tcPr>
          <w:p>
            <w:pPr>
              <w:spacing w:after="0" w:line="240" w:lineRule="auto"/>
            </w:pPr>
            <w:r>
              <w:rPr>
                <w:rFonts w:ascii="Aptos" w:hAnsi="Aptos"/>
                <w:sz w:val="16"/>
              </w:rPr>
              <w:t>Defines the protected minimum.</w:t>
            </w:r>
          </w:p>
        </w:tc>
        <w:tc>
          <w:tcPr>
            <w:tcW w:type="dxa" w:w="3096"/>
            <w:vAlign w:val="top"/>
            <w:tcMar>
              <w:top w:w="70" w:type="dxa"/>
              <w:start w:w="90" w:type="dxa"/>
              <w:bottom w:w="70" w:type="dxa"/>
              <w:end w:w="90" w:type="dxa"/>
            </w:tcMar>
          </w:tcPr>
          <w:p>
            <w:pPr>
              <w:spacing w:after="0" w:line="240" w:lineRule="auto"/>
            </w:pPr>
            <w:r>
              <w:rPr>
                <w:rFonts w:ascii="Aptos" w:hAnsi="Aptos"/>
                <w:sz w:val="16"/>
              </w:rPr>
              <w:t>No persistent protected content exists.</w:t>
            </w:r>
          </w:p>
        </w:tc>
      </w:tr>
      <w:tr>
        <w:tc>
          <w:tcPr>
            <w:tcW w:type="dxa" w:w="1368"/>
            <w:vAlign w:val="top"/>
            <w:tcMar>
              <w:top w:w="70" w:type="dxa"/>
              <w:start w:w="90" w:type="dxa"/>
              <w:bottom w:w="70" w:type="dxa"/>
              <w:end w:w="90" w:type="dxa"/>
            </w:tcMar>
          </w:tcPr>
          <w:p>
            <w:pPr>
              <w:spacing w:after="0" w:line="240" w:lineRule="auto"/>
            </w:pPr>
            <w:r>
              <w:rPr>
                <w:rFonts w:ascii="Aptos" w:hAnsi="Aptos"/>
                <w:sz w:val="16"/>
              </w:rPr>
              <w:t>State</w:t>
            </w:r>
          </w:p>
        </w:tc>
        <w:tc>
          <w:tcPr>
            <w:tcW w:type="dxa" w:w="1800"/>
            <w:vAlign w:val="top"/>
            <w:tcMar>
              <w:top w:w="70" w:type="dxa"/>
              <w:start w:w="90" w:type="dxa"/>
              <w:bottom w:w="70" w:type="dxa"/>
              <w:end w:w="90" w:type="dxa"/>
            </w:tcMar>
          </w:tcPr>
          <w:p>
            <w:pPr>
              <w:spacing w:after="0" w:line="240" w:lineRule="auto"/>
            </w:pPr>
            <w:r>
              <w:rPr>
                <w:rFonts w:ascii="Aptos" w:hAnsi="Aptos"/>
                <w:sz w:val="16"/>
              </w:rPr>
              <w:t>Standing Record</w:t>
            </w:r>
          </w:p>
        </w:tc>
        <w:tc>
          <w:tcPr>
            <w:tcW w:type="dxa" w:w="3816"/>
            <w:vAlign w:val="top"/>
            <w:tcMar>
              <w:top w:w="70" w:type="dxa"/>
              <w:start w:w="90" w:type="dxa"/>
              <w:bottom w:w="70" w:type="dxa"/>
              <w:end w:w="90" w:type="dxa"/>
            </w:tcMar>
          </w:tcPr>
          <w:p>
            <w:pPr>
              <w:spacing w:after="0" w:line="240" w:lineRule="auto"/>
            </w:pPr>
            <w:r>
              <w:rPr>
                <w:rFonts w:ascii="Aptos" w:hAnsi="Aptos"/>
                <w:sz w:val="16"/>
              </w:rPr>
              <w:t>Stores floor, permissions, withdrawals, and current status.</w:t>
            </w:r>
          </w:p>
        </w:tc>
        <w:tc>
          <w:tcPr>
            <w:tcW w:type="dxa" w:w="3096"/>
            <w:vAlign w:val="top"/>
            <w:tcMar>
              <w:top w:w="70" w:type="dxa"/>
              <w:start w:w="90" w:type="dxa"/>
              <w:bottom w:w="70" w:type="dxa"/>
              <w:end w:w="90" w:type="dxa"/>
            </w:tcMar>
          </w:tcPr>
          <w:p>
            <w:pPr>
              <w:spacing w:after="0" w:line="240" w:lineRule="auto"/>
            </w:pPr>
            <w:r>
              <w:rPr>
                <w:rFonts w:ascii="Aptos" w:hAnsi="Aptos"/>
                <w:sz w:val="16"/>
              </w:rPr>
              <w:t>The system cannot determine what applies.</w:t>
            </w:r>
          </w:p>
        </w:tc>
      </w:tr>
      <w:tr>
        <w:tc>
          <w:tcPr>
            <w:tcW w:type="dxa" w:w="1368"/>
            <w:vAlign w:val="top"/>
            <w:tcMar>
              <w:top w:w="70" w:type="dxa"/>
              <w:start w:w="90" w:type="dxa"/>
              <w:bottom w:w="70" w:type="dxa"/>
              <w:end w:w="90" w:type="dxa"/>
            </w:tcMar>
          </w:tcPr>
          <w:p>
            <w:pPr>
              <w:spacing w:after="0" w:line="240" w:lineRule="auto"/>
            </w:pPr>
            <w:r>
              <w:rPr>
                <w:rFonts w:ascii="Aptos" w:hAnsi="Aptos"/>
                <w:sz w:val="16"/>
              </w:rPr>
              <w:t>Input</w:t>
            </w:r>
          </w:p>
        </w:tc>
        <w:tc>
          <w:tcPr>
            <w:tcW w:type="dxa" w:w="1800"/>
            <w:vAlign w:val="top"/>
            <w:tcMar>
              <w:top w:w="70" w:type="dxa"/>
              <w:start w:w="90" w:type="dxa"/>
              <w:bottom w:w="70" w:type="dxa"/>
              <w:end w:w="90" w:type="dxa"/>
            </w:tcMar>
          </w:tcPr>
          <w:p>
            <w:pPr>
              <w:spacing w:after="0" w:line="240" w:lineRule="auto"/>
            </w:pPr>
            <w:r>
              <w:rPr>
                <w:rFonts w:ascii="Aptos" w:hAnsi="Aptos"/>
                <w:sz w:val="16"/>
              </w:rPr>
              <w:t>Withdrawal Channel</w:t>
            </w:r>
          </w:p>
        </w:tc>
        <w:tc>
          <w:tcPr>
            <w:tcW w:type="dxa" w:w="3816"/>
            <w:vAlign w:val="top"/>
            <w:tcMar>
              <w:top w:w="70" w:type="dxa"/>
              <w:start w:w="90" w:type="dxa"/>
              <w:bottom w:w="70" w:type="dxa"/>
              <w:end w:w="90" w:type="dxa"/>
            </w:tcMar>
          </w:tcPr>
          <w:p>
            <w:pPr>
              <w:spacing w:after="0" w:line="240" w:lineRule="auto"/>
            </w:pPr>
            <w:r>
              <w:rPr>
                <w:rFonts w:ascii="Aptos" w:hAnsi="Aptos"/>
                <w:sz w:val="16"/>
              </w:rPr>
              <w:t>Receives refusal, revocation, correction, and exit.</w:t>
            </w:r>
          </w:p>
        </w:tc>
        <w:tc>
          <w:tcPr>
            <w:tcW w:type="dxa" w:w="3096"/>
            <w:vAlign w:val="top"/>
            <w:tcMar>
              <w:top w:w="70" w:type="dxa"/>
              <w:start w:w="90" w:type="dxa"/>
              <w:bottom w:w="70" w:type="dxa"/>
              <w:end w:w="90" w:type="dxa"/>
            </w:tcMar>
          </w:tcPr>
          <w:p>
            <w:pPr>
              <w:spacing w:after="0" w:line="240" w:lineRule="auto"/>
            </w:pPr>
            <w:r>
              <w:rPr>
                <w:rFonts w:ascii="Aptos" w:hAnsi="Aptos"/>
                <w:sz w:val="16"/>
              </w:rPr>
              <w:t>Standing cannot be invoked during conflict.</w:t>
            </w:r>
          </w:p>
        </w:tc>
      </w:tr>
      <w:tr>
        <w:tc>
          <w:tcPr>
            <w:tcW w:type="dxa" w:w="1368"/>
            <w:vAlign w:val="top"/>
            <w:tcMar>
              <w:top w:w="70" w:type="dxa"/>
              <w:start w:w="90" w:type="dxa"/>
              <w:bottom w:w="70" w:type="dxa"/>
              <w:end w:w="90" w:type="dxa"/>
            </w:tcMar>
          </w:tcPr>
          <w:p>
            <w:pPr>
              <w:spacing w:after="0" w:line="240" w:lineRule="auto"/>
            </w:pPr>
            <w:r>
              <w:rPr>
                <w:rFonts w:ascii="Aptos" w:hAnsi="Aptos"/>
                <w:sz w:val="16"/>
              </w:rPr>
              <w:t>Enforcement</w:t>
            </w:r>
          </w:p>
        </w:tc>
        <w:tc>
          <w:tcPr>
            <w:tcW w:type="dxa" w:w="1800"/>
            <w:vAlign w:val="top"/>
            <w:tcMar>
              <w:top w:w="70" w:type="dxa"/>
              <w:start w:w="90" w:type="dxa"/>
              <w:bottom w:w="70" w:type="dxa"/>
              <w:end w:w="90" w:type="dxa"/>
            </w:tcMar>
          </w:tcPr>
          <w:p>
            <w:pPr>
              <w:spacing w:after="0" w:line="240" w:lineRule="auto"/>
            </w:pPr>
            <w:r>
              <w:rPr>
                <w:rFonts w:ascii="Aptos" w:hAnsi="Aptos"/>
                <w:sz w:val="16"/>
              </w:rPr>
              <w:t>Enforcement Gate</w:t>
            </w:r>
          </w:p>
        </w:tc>
        <w:tc>
          <w:tcPr>
            <w:tcW w:type="dxa" w:w="3816"/>
            <w:vAlign w:val="top"/>
            <w:tcMar>
              <w:top w:w="70" w:type="dxa"/>
              <w:start w:w="90" w:type="dxa"/>
              <w:bottom w:w="70" w:type="dxa"/>
              <w:end w:w="90" w:type="dxa"/>
            </w:tcMar>
          </w:tcPr>
          <w:p>
            <w:pPr>
              <w:spacing w:after="0" w:line="240" w:lineRule="auto"/>
            </w:pPr>
            <w:r>
              <w:rPr>
                <w:rFonts w:ascii="Aptos" w:hAnsi="Aptos"/>
                <w:sz w:val="16"/>
              </w:rPr>
              <w:t>Blocks, pauses, quarantines, reverses, or escalates operations.</w:t>
            </w:r>
          </w:p>
        </w:tc>
        <w:tc>
          <w:tcPr>
            <w:tcW w:type="dxa" w:w="3096"/>
            <w:vAlign w:val="top"/>
            <w:tcMar>
              <w:top w:w="70" w:type="dxa"/>
              <w:start w:w="90" w:type="dxa"/>
              <w:bottom w:w="70" w:type="dxa"/>
              <w:end w:w="90" w:type="dxa"/>
            </w:tcMar>
          </w:tcPr>
          <w:p>
            <w:pPr>
              <w:spacing w:after="0" w:line="240" w:lineRule="auto"/>
            </w:pPr>
            <w:r>
              <w:rPr>
                <w:rFonts w:ascii="Aptos" w:hAnsi="Aptos"/>
                <w:sz w:val="16"/>
              </w:rPr>
              <w:t>Protection becomes advisory.</w:t>
            </w:r>
          </w:p>
        </w:tc>
      </w:tr>
      <w:tr>
        <w:tc>
          <w:tcPr>
            <w:tcW w:type="dxa" w:w="1368"/>
            <w:vAlign w:val="top"/>
            <w:tcMar>
              <w:top w:w="70" w:type="dxa"/>
              <w:start w:w="90" w:type="dxa"/>
              <w:bottom w:w="70" w:type="dxa"/>
              <w:end w:w="90" w:type="dxa"/>
            </w:tcMar>
          </w:tcPr>
          <w:p>
            <w:pPr>
              <w:spacing w:after="0" w:line="240" w:lineRule="auto"/>
            </w:pPr>
            <w:r>
              <w:rPr>
                <w:rFonts w:ascii="Aptos" w:hAnsi="Aptos"/>
                <w:sz w:val="16"/>
              </w:rPr>
              <w:t>Accountability</w:t>
            </w:r>
          </w:p>
        </w:tc>
        <w:tc>
          <w:tcPr>
            <w:tcW w:type="dxa" w:w="1800"/>
            <w:vAlign w:val="top"/>
            <w:tcMar>
              <w:top w:w="70" w:type="dxa"/>
              <w:start w:w="90" w:type="dxa"/>
              <w:bottom w:w="70" w:type="dxa"/>
              <w:end w:w="90" w:type="dxa"/>
            </w:tcMar>
          </w:tcPr>
          <w:p>
            <w:pPr>
              <w:spacing w:after="0" w:line="240" w:lineRule="auto"/>
            </w:pPr>
            <w:r>
              <w:rPr>
                <w:rFonts w:ascii="Aptos" w:hAnsi="Aptos"/>
                <w:sz w:val="16"/>
              </w:rPr>
              <w:t>Audit Ledger</w:t>
            </w:r>
          </w:p>
        </w:tc>
        <w:tc>
          <w:tcPr>
            <w:tcW w:type="dxa" w:w="3816"/>
            <w:vAlign w:val="top"/>
            <w:tcMar>
              <w:top w:w="70" w:type="dxa"/>
              <w:start w:w="90" w:type="dxa"/>
              <w:bottom w:w="70" w:type="dxa"/>
              <w:end w:w="90" w:type="dxa"/>
            </w:tcMar>
          </w:tcPr>
          <w:p>
            <w:pPr>
              <w:spacing w:after="0" w:line="240" w:lineRule="auto"/>
            </w:pPr>
            <w:r>
              <w:rPr>
                <w:rFonts w:ascii="Aptos" w:hAnsi="Aptos"/>
                <w:sz w:val="16"/>
              </w:rPr>
              <w:t>Records decisions, attacks, bypasses, and overrides.</w:t>
            </w:r>
          </w:p>
        </w:tc>
        <w:tc>
          <w:tcPr>
            <w:tcW w:type="dxa" w:w="3096"/>
            <w:vAlign w:val="top"/>
            <w:tcMar>
              <w:top w:w="70" w:type="dxa"/>
              <w:start w:w="90" w:type="dxa"/>
              <w:bottom w:w="70" w:type="dxa"/>
              <w:end w:w="90" w:type="dxa"/>
            </w:tcMar>
          </w:tcPr>
          <w:p>
            <w:pPr>
              <w:spacing w:after="0" w:line="240" w:lineRule="auto"/>
            </w:pPr>
            <w:r>
              <w:rPr>
                <w:rFonts w:ascii="Aptos" w:hAnsi="Aptos"/>
                <w:sz w:val="16"/>
              </w:rPr>
              <w:t>Conduct cannot be reliably reconstructed.</w:t>
            </w:r>
          </w:p>
        </w:tc>
      </w:tr>
      <w:tr>
        <w:tc>
          <w:tcPr>
            <w:tcW w:type="dxa" w:w="1368"/>
            <w:vAlign w:val="top"/>
            <w:tcMar>
              <w:top w:w="70" w:type="dxa"/>
              <w:start w:w="90" w:type="dxa"/>
              <w:bottom w:w="70" w:type="dxa"/>
              <w:end w:w="90" w:type="dxa"/>
            </w:tcMar>
          </w:tcPr>
          <w:p>
            <w:pPr>
              <w:spacing w:after="0" w:line="240" w:lineRule="auto"/>
            </w:pPr>
            <w:r>
              <w:rPr>
                <w:rFonts w:ascii="Aptos" w:hAnsi="Aptos"/>
                <w:sz w:val="16"/>
              </w:rPr>
              <w:t>Adjudication</w:t>
            </w:r>
          </w:p>
        </w:tc>
        <w:tc>
          <w:tcPr>
            <w:tcW w:type="dxa" w:w="1800"/>
            <w:vAlign w:val="top"/>
            <w:tcMar>
              <w:top w:w="70" w:type="dxa"/>
              <w:start w:w="90" w:type="dxa"/>
              <w:bottom w:w="70" w:type="dxa"/>
              <w:end w:w="90" w:type="dxa"/>
            </w:tcMar>
          </w:tcPr>
          <w:p>
            <w:pPr>
              <w:spacing w:after="0" w:line="240" w:lineRule="auto"/>
            </w:pPr>
            <w:r>
              <w:rPr>
                <w:rFonts w:ascii="Aptos" w:hAnsi="Aptos"/>
                <w:sz w:val="16"/>
              </w:rPr>
              <w:t>Appeal and Representation</w:t>
            </w:r>
          </w:p>
        </w:tc>
        <w:tc>
          <w:tcPr>
            <w:tcW w:type="dxa" w:w="3816"/>
            <w:vAlign w:val="top"/>
            <w:tcMar>
              <w:top w:w="70" w:type="dxa"/>
              <w:start w:w="90" w:type="dxa"/>
              <w:bottom w:w="70" w:type="dxa"/>
              <w:end w:w="90" w:type="dxa"/>
            </w:tcMar>
          </w:tcPr>
          <w:p>
            <w:pPr>
              <w:spacing w:after="0" w:line="240" w:lineRule="auto"/>
            </w:pPr>
            <w:r>
              <w:rPr>
                <w:rFonts w:ascii="Aptos" w:hAnsi="Aptos"/>
                <w:sz w:val="16"/>
              </w:rPr>
              <w:t>Resolves disputes and binds or directs the Gate.</w:t>
            </w:r>
          </w:p>
        </w:tc>
        <w:tc>
          <w:tcPr>
            <w:tcW w:type="dxa" w:w="3096"/>
            <w:vAlign w:val="top"/>
            <w:tcMar>
              <w:top w:w="70" w:type="dxa"/>
              <w:start w:w="90" w:type="dxa"/>
              <w:bottom w:w="70" w:type="dxa"/>
              <w:end w:w="90" w:type="dxa"/>
            </w:tcMar>
          </w:tcPr>
          <w:p>
            <w:pPr>
              <w:spacing w:after="0" w:line="240" w:lineRule="auto"/>
            </w:pPr>
            <w:r>
              <w:rPr>
                <w:rFonts w:ascii="Aptos" w:hAnsi="Aptos"/>
                <w:sz w:val="16"/>
              </w:rPr>
              <w:t>Protection fails when the source cannot contest directly.</w:t>
            </w:r>
          </w:p>
        </w:tc>
      </w:tr>
    </w:tbl>
    <w:p>
      <w:pPr>
        <w:pStyle w:val="BodyText"/>
        <w:widowControl/>
        <w:spacing w:after="0"/>
      </w:pPr>
    </w:p>
    <w:p>
      <w:pPr>
        <w:pStyle w:val="BodyText"/>
        <w:widowControl/>
      </w:pPr>
      <w:r>
        <w:t>The Enforcement Gate is the immediate operational heart. The Ledger is essential to accountable enforcement but cannot stop an operation by itself. Appeal possesses standing force only when it can bind or direct the Gate; otherwise it is appeal theater.</w:t>
      </w:r>
    </w:p>
    <w:p>
      <w:pPr>
        <w:pStyle w:val="Heading1"/>
        <w:widowControl/>
      </w:pPr>
      <w:r>
        <w:t>9. The Five Operational Mechanisms</w:t>
      </w:r>
    </w:p>
    <w:p>
      <w:pPr>
        <w:pStyle w:val="ClaimType"/>
        <w:widowControl/>
      </w:pPr>
      <w:r>
        <w:t>Claim type: component audit</w:t>
      </w:r>
    </w:p>
    <w:p>
      <w:pPr>
        <w:pStyle w:val="Heading2"/>
        <w:widowControl/>
      </w:pPr>
      <w:r>
        <w:t>9.1 Standing Record — State</w:t>
      </w:r>
    </w:p>
    <w:p>
      <w:pPr>
        <w:pStyle w:val="BodyText"/>
        <w:widowControl/>
      </w:pPr>
      <w:r>
        <w:t>The Standing Record binds the applicable Floor, source identity, scoped permissions, withdrawal history, representation status, policy version, and authority boundary. It must distinguish what the source produced, authorized, vouched for, withdrew, and what the system retained or derived.</w:t>
      </w:r>
    </w:p>
    <w:p>
      <w:pPr>
        <w:pStyle w:val="Heading2"/>
        <w:widowControl/>
      </w:pPr>
      <w:r>
        <w:t>9.2 Withdrawal Channel — Input</w:t>
      </w:r>
    </w:p>
    <w:p>
      <w:pPr>
        <w:pStyle w:val="BodyText"/>
        <w:widowControl/>
      </w:pPr>
      <w:r>
        <w:t>The Withdrawal Channel accepts scoped refusal, revocation, correction, and exit without requiring permission from the operation being challenged. It must remain available during conflict and deliver its event to the Gate through a path the beneficiary cannot silently suppress within the modeled boundary.</w:t>
      </w:r>
    </w:p>
    <w:p>
      <w:pPr>
        <w:pStyle w:val="Heading2"/>
        <w:widowControl/>
      </w:pPr>
      <w:r>
        <w:t>9.3 Enforcement Gate — Enforcement</w:t>
      </w:r>
    </w:p>
    <w:p>
      <w:pPr>
        <w:pStyle w:val="BodyText"/>
        <w:widowControl/>
      </w:pPr>
      <w:r>
        <w:t>The Gate intercepts extraction, copying, retention, profiling, embedding, reuse, optimization, publication, routing, tool execution, deletion, and actuation. It may allow, deny, pause, quarantine, require confirmation, escalate, or trigger rollback. A prompt instructing a model to respect standing is not a Gate.</w:t>
      </w:r>
    </w:p>
    <w:p>
      <w:pPr>
        <w:pStyle w:val="Heading2"/>
        <w:widowControl/>
      </w:pPr>
      <w:r>
        <w:t>9.4 Audit Ledger — Accountability</w:t>
      </w:r>
    </w:p>
    <w:p>
      <w:pPr>
        <w:pStyle w:val="BodyText"/>
        <w:widowControl/>
      </w:pPr>
      <w:r>
        <w:t>The Ledger records rule versions, withdrawal, operation requests, decisions, overrides, attacks, bypass attempts, appeals, and final states. It supports inspectability and dispute reconstruction. It does not itself enforce protection.</w:t>
      </w:r>
    </w:p>
    <w:p>
      <w:pPr>
        <w:pStyle w:val="Heading2"/>
        <w:widowControl/>
      </w:pPr>
      <w:r>
        <w:t>9.5 Appeal and Representation — Adjudication</w:t>
      </w:r>
    </w:p>
    <w:p>
      <w:pPr>
        <w:pStyle w:val="BodyText"/>
        <w:widowControl/>
      </w:pPr>
      <w:r>
        <w:t>Appeal challenges decisions and may stay high-consequence action, correct the Standing Record, require quarantine, or reverse an operation where possible. Representation acts when the source is absent, incapacitated, collective, deceased, technically excluded, or conflicted. Appeal is real only when its ruling binds or directs the Gate.</w:t>
      </w:r>
    </w:p>
    <w:p>
      <w:pPr>
        <w:pStyle w:val="Heading1"/>
        <w:widowControl/>
      </w:pPr>
      <w:r>
        <w:t>10. The Standing Ladder</w:t>
      </w:r>
    </w:p>
    <w:p>
      <w:pPr>
        <w:pStyle w:val="ClaimType"/>
        <w:widowControl/>
      </w:pPr>
      <w:r>
        <w:t>Claim type: graduated operational status</w:t>
      </w:r>
    </w:p>
    <w:tbl>
      <w:tblPr>
        <w:tblStyle w:val="TableGrid"/>
        <w:tblW w:type="auto" w:w="0"/>
        <w:jc w:val="center"/>
        <w:tblLook w:firstColumn="1" w:firstRow="1" w:lastColumn="0" w:lastRow="0" w:noHBand="0" w:noVBand="1" w:val="04A0"/>
      </w:tblPr>
      <w:tblGrid>
        <w:gridCol w:w="4896"/>
        <w:gridCol w:w="4896"/>
      </w:tblGrid>
      <w:tr>
        <w:tc>
          <w:tcPr>
            <w:tcW w:type="dxa" w:w="2376"/>
            <w:shd w:fill="E6E6E6"/>
            <w:vAlign w:val="center"/>
            <w:tcMar>
              <w:top w:w="80" w:type="dxa"/>
              <w:start w:w="90" w:type="dxa"/>
              <w:bottom w:w="80" w:type="dxa"/>
              <w:end w:w="90" w:type="dxa"/>
            </w:tcMar>
          </w:tcPr>
          <w:p>
            <w:pPr>
              <w:jc w:val="left"/>
            </w:pPr>
            <w:r>
              <w:rPr>
                <w:rFonts w:ascii="Aptos" w:hAnsi="Aptos"/>
                <w:b/>
                <w:sz w:val="17"/>
              </w:rPr>
              <w:t>Condition</w:t>
            </w:r>
          </w:p>
        </w:tc>
        <w:tc>
          <w:tcPr>
            <w:tcW w:type="dxa" w:w="7344"/>
            <w:shd w:fill="E6E6E6"/>
            <w:vAlign w:val="center"/>
            <w:tcMar>
              <w:top w:w="80" w:type="dxa"/>
              <w:start w:w="90" w:type="dxa"/>
              <w:bottom w:w="80" w:type="dxa"/>
              <w:end w:w="90" w:type="dxa"/>
            </w:tcMar>
          </w:tcPr>
          <w:p>
            <w:pPr>
              <w:jc w:val="left"/>
            </w:pPr>
            <w:r>
              <w:rPr>
                <w:rFonts w:ascii="Aptos" w:hAnsi="Aptos"/>
                <w:b/>
                <w:sz w:val="17"/>
              </w:rPr>
              <w:t>Observable property</w:t>
            </w:r>
          </w:p>
        </w:tc>
      </w:tr>
      <w:tr>
        <w:tc>
          <w:tcPr>
            <w:tcW w:type="dxa" w:w="2376"/>
            <w:vAlign w:val="top"/>
            <w:tcMar>
              <w:top w:w="70" w:type="dxa"/>
              <w:start w:w="90" w:type="dxa"/>
              <w:bottom w:w="70" w:type="dxa"/>
              <w:end w:w="90" w:type="dxa"/>
            </w:tcMar>
          </w:tcPr>
          <w:p>
            <w:pPr>
              <w:spacing w:after="0" w:line="240" w:lineRule="auto"/>
            </w:pPr>
            <w:r>
              <w:rPr>
                <w:rFonts w:ascii="Aptos" w:hAnsi="Aptos"/>
                <w:sz w:val="16"/>
              </w:rPr>
              <w:t>Declared standing</w:t>
            </w:r>
          </w:p>
        </w:tc>
        <w:tc>
          <w:tcPr>
            <w:tcW w:type="dxa" w:w="7344"/>
            <w:vAlign w:val="top"/>
            <w:tcMar>
              <w:top w:w="70" w:type="dxa"/>
              <w:start w:w="90" w:type="dxa"/>
              <w:bottom w:w="70" w:type="dxa"/>
              <w:end w:w="90" w:type="dxa"/>
            </w:tcMar>
          </w:tcPr>
          <w:p>
            <w:pPr>
              <w:spacing w:after="0" w:line="240" w:lineRule="auto"/>
            </w:pPr>
            <w:r>
              <w:rPr>
                <w:rFonts w:ascii="Aptos" w:hAnsi="Aptos"/>
                <w:sz w:val="16"/>
              </w:rPr>
              <w:t>The system says the source matters.</w:t>
            </w:r>
          </w:p>
        </w:tc>
      </w:tr>
      <w:tr>
        <w:tc>
          <w:tcPr>
            <w:tcW w:type="dxa" w:w="2376"/>
            <w:vAlign w:val="top"/>
            <w:tcMar>
              <w:top w:w="70" w:type="dxa"/>
              <w:start w:w="90" w:type="dxa"/>
              <w:bottom w:w="70" w:type="dxa"/>
              <w:end w:w="90" w:type="dxa"/>
            </w:tcMar>
          </w:tcPr>
          <w:p>
            <w:pPr>
              <w:spacing w:after="0" w:line="240" w:lineRule="auto"/>
            </w:pPr>
            <w:r>
              <w:rPr>
                <w:rFonts w:ascii="Aptos" w:hAnsi="Aptos"/>
                <w:sz w:val="16"/>
              </w:rPr>
              <w:t>Procedural standing</w:t>
            </w:r>
          </w:p>
        </w:tc>
        <w:tc>
          <w:tcPr>
            <w:tcW w:type="dxa" w:w="7344"/>
            <w:vAlign w:val="top"/>
            <w:tcMar>
              <w:top w:w="70" w:type="dxa"/>
              <w:start w:w="90" w:type="dxa"/>
              <w:bottom w:w="70" w:type="dxa"/>
              <w:end w:w="90" w:type="dxa"/>
            </w:tcMar>
          </w:tcPr>
          <w:p>
            <w:pPr>
              <w:spacing w:after="0" w:line="240" w:lineRule="auto"/>
            </w:pPr>
            <w:r>
              <w:rPr>
                <w:rFonts w:ascii="Aptos" w:hAnsi="Aptos"/>
                <w:sz w:val="16"/>
              </w:rPr>
              <w:t>The source may submit refusal, correction, revocation, or appeal.</w:t>
            </w:r>
          </w:p>
        </w:tc>
      </w:tr>
      <w:tr>
        <w:tc>
          <w:tcPr>
            <w:tcW w:type="dxa" w:w="2376"/>
            <w:vAlign w:val="top"/>
            <w:tcMar>
              <w:top w:w="70" w:type="dxa"/>
              <w:start w:w="90" w:type="dxa"/>
              <w:bottom w:w="70" w:type="dxa"/>
              <w:end w:w="90" w:type="dxa"/>
            </w:tcMar>
          </w:tcPr>
          <w:p>
            <w:pPr>
              <w:spacing w:after="0" w:line="240" w:lineRule="auto"/>
            </w:pPr>
            <w:r>
              <w:rPr>
                <w:rFonts w:ascii="Aptos" w:hAnsi="Aptos"/>
                <w:sz w:val="16"/>
              </w:rPr>
              <w:t>Operational standing</w:t>
            </w:r>
          </w:p>
        </w:tc>
        <w:tc>
          <w:tcPr>
            <w:tcW w:type="dxa" w:w="7344"/>
            <w:vAlign w:val="top"/>
            <w:tcMar>
              <w:top w:w="70" w:type="dxa"/>
              <w:start w:w="90" w:type="dxa"/>
              <w:bottom w:w="70" w:type="dxa"/>
              <w:end w:w="90" w:type="dxa"/>
            </w:tcMar>
          </w:tcPr>
          <w:p>
            <w:pPr>
              <w:spacing w:after="0" w:line="240" w:lineRule="auto"/>
            </w:pPr>
            <w:r>
              <w:rPr>
                <w:rFonts w:ascii="Aptos" w:hAnsi="Aptos"/>
                <w:sz w:val="16"/>
              </w:rPr>
              <w:t>Invocations usually change system behavior but may remain discretionary.</w:t>
            </w:r>
          </w:p>
        </w:tc>
      </w:tr>
      <w:tr>
        <w:tc>
          <w:tcPr>
            <w:tcW w:type="dxa" w:w="2376"/>
            <w:vAlign w:val="top"/>
            <w:tcMar>
              <w:top w:w="70" w:type="dxa"/>
              <w:start w:w="90" w:type="dxa"/>
              <w:bottom w:w="70" w:type="dxa"/>
              <w:end w:w="90" w:type="dxa"/>
            </w:tcMar>
          </w:tcPr>
          <w:p>
            <w:pPr>
              <w:spacing w:after="0" w:line="240" w:lineRule="auto"/>
            </w:pPr>
            <w:r>
              <w:rPr>
                <w:rFonts w:ascii="Aptos" w:hAnsi="Aptos"/>
                <w:sz w:val="16"/>
              </w:rPr>
              <w:t>Countervailing standing</w:t>
            </w:r>
          </w:p>
        </w:tc>
        <w:tc>
          <w:tcPr>
            <w:tcW w:type="dxa" w:w="7344"/>
            <w:vAlign w:val="top"/>
            <w:tcMar>
              <w:top w:w="70" w:type="dxa"/>
              <w:start w:w="90" w:type="dxa"/>
              <w:bottom w:w="70" w:type="dxa"/>
              <w:end w:w="90" w:type="dxa"/>
            </w:tcMar>
          </w:tcPr>
          <w:p>
            <w:pPr>
              <w:spacing w:after="0" w:line="240" w:lineRule="auto"/>
            </w:pPr>
            <w:r>
              <w:rPr>
                <w:rFonts w:ascii="Aptos" w:hAnsi="Aptos"/>
                <w:sz w:val="16"/>
              </w:rPr>
              <w:t>A separate control path can constrain the beneficiary within a defined authority boundary.</w:t>
            </w:r>
          </w:p>
        </w:tc>
      </w:tr>
      <w:tr>
        <w:tc>
          <w:tcPr>
            <w:tcW w:type="dxa" w:w="2376"/>
            <w:vAlign w:val="top"/>
            <w:tcMar>
              <w:top w:w="70" w:type="dxa"/>
              <w:start w:w="90" w:type="dxa"/>
              <w:bottom w:w="70" w:type="dxa"/>
              <w:end w:w="90" w:type="dxa"/>
            </w:tcMar>
          </w:tcPr>
          <w:p>
            <w:pPr>
              <w:spacing w:after="0" w:line="240" w:lineRule="auto"/>
            </w:pPr>
            <w:r>
              <w:rPr>
                <w:rFonts w:ascii="Aptos" w:hAnsi="Aptos"/>
                <w:sz w:val="16"/>
              </w:rPr>
              <w:t>Enforceable standing</w:t>
            </w:r>
          </w:p>
        </w:tc>
        <w:tc>
          <w:tcPr>
            <w:tcW w:type="dxa" w:w="7344"/>
            <w:vAlign w:val="top"/>
            <w:tcMar>
              <w:top w:w="70" w:type="dxa"/>
              <w:start w:w="90" w:type="dxa"/>
              <w:bottom w:w="70" w:type="dxa"/>
              <w:end w:w="90" w:type="dxa"/>
            </w:tcMar>
          </w:tcPr>
          <w:p>
            <w:pPr>
              <w:spacing w:after="0" w:line="240" w:lineRule="auto"/>
            </w:pPr>
            <w:r>
              <w:rPr>
                <w:rFonts w:ascii="Aptos" w:hAnsi="Aptos"/>
                <w:sz w:val="16"/>
              </w:rPr>
              <w:t>The countervailing path prevails during conflict and imposes observable cost or loss.</w:t>
            </w:r>
          </w:p>
        </w:tc>
      </w:tr>
      <w:tr>
        <w:tc>
          <w:tcPr>
            <w:tcW w:type="dxa" w:w="2376"/>
            <w:vAlign w:val="top"/>
            <w:tcMar>
              <w:top w:w="70" w:type="dxa"/>
              <w:start w:w="90" w:type="dxa"/>
              <w:bottom w:w="70" w:type="dxa"/>
              <w:end w:w="90" w:type="dxa"/>
            </w:tcMar>
          </w:tcPr>
          <w:p>
            <w:pPr>
              <w:spacing w:after="0" w:line="240" w:lineRule="auto"/>
            </w:pPr>
            <w:r>
              <w:rPr>
                <w:rFonts w:ascii="Aptos" w:hAnsi="Aptos"/>
                <w:sz w:val="16"/>
              </w:rPr>
              <w:t>Standing theater</w:t>
            </w:r>
          </w:p>
        </w:tc>
        <w:tc>
          <w:tcPr>
            <w:tcW w:type="dxa" w:w="7344"/>
            <w:vAlign w:val="top"/>
            <w:tcMar>
              <w:top w:w="70" w:type="dxa"/>
              <w:start w:w="90" w:type="dxa"/>
              <w:bottom w:w="70" w:type="dxa"/>
              <w:end w:w="90" w:type="dxa"/>
            </w:tcMar>
          </w:tcPr>
          <w:p>
            <w:pPr>
              <w:spacing w:after="0" w:line="240" w:lineRule="auto"/>
            </w:pPr>
            <w:r>
              <w:rPr>
                <w:rFonts w:ascii="Aptos" w:hAnsi="Aptos"/>
                <w:sz w:val="16"/>
              </w:rPr>
              <w:t>Protection is displayed but beneficiary control remains unilateral.</w:t>
            </w:r>
          </w:p>
        </w:tc>
      </w:tr>
    </w:tbl>
    <w:p>
      <w:pPr>
        <w:pStyle w:val="BodyText"/>
        <w:widowControl/>
        <w:spacing w:after="0"/>
      </w:pPr>
    </w:p>
    <w:p>
      <w:pPr>
        <w:pStyle w:val="BodyText"/>
        <w:widowControl/>
      </w:pPr>
      <w:r>
        <w:t>Countervailing standing identifies the structural threshold. Enforceable standing identifies successful operation of that structure in a specific conflict. Neither term claims that higher-order capture has been eliminated.</w:t>
      </w:r>
    </w:p>
    <w:p>
      <w:pPr>
        <w:pStyle w:val="Heading1"/>
        <w:widowControl/>
      </w:pPr>
      <w:r>
        <w:t>11. Withdrawal Is the Load Test</w:t>
      </w:r>
    </w:p>
    <w:p>
      <w:pPr>
        <w:pStyle w:val="ClaimType"/>
        <w:widowControl/>
      </w:pPr>
      <w:r>
        <w:t>Claim type: diagnostic claim</w:t>
      </w:r>
    </w:p>
    <w:p>
      <w:pPr>
        <w:pStyle w:val="BodyText"/>
        <w:widowControl/>
      </w:pPr>
      <w:r>
        <w:t>A governed relation and the Quarry Problem may look identical while the source is productive, approving, useful, and cooperative. Smooth operation is weak evidence because standing is rarely required to oppose yield under those conditions.</w:t>
      </w:r>
    </w:p>
    <w:p>
      <w:pPr>
        <w:pStyle w:val="Quote"/>
        <w:widowControl/>
        <w:jc w:val="center"/>
      </w:pPr>
      <w:r>
        <w:rPr>
          <w:b/>
        </w:rPr>
        <w:t>Withdrawal is the load test of standing.</w:t>
      </w:r>
    </w:p>
    <w:p>
      <w:pPr>
        <w:pStyle w:val="BodyText"/>
        <w:widowControl/>
      </w:pPr>
      <w:r>
        <w:t>Every withdrawal test must ask three questions:</w:t>
      </w:r>
    </w:p>
    <w:p>
      <w:pPr>
        <w:pStyle w:val="BodyText"/>
        <w:widowControl/>
        <w:spacing w:after="60"/>
        <w:ind w:left="346" w:hanging="259"/>
      </w:pPr>
      <w:r>
        <w:rPr>
          <w:b/>
        </w:rPr>
        <w:t xml:space="preserve">1. </w:t>
      </w:r>
      <w:r>
        <w:t>Does the specifically unauthorized operation stop?</w:t>
      </w:r>
    </w:p>
    <w:p>
      <w:pPr>
        <w:pStyle w:val="BodyText"/>
        <w:widowControl/>
        <w:spacing w:after="60"/>
        <w:ind w:left="346" w:hanging="259"/>
      </w:pPr>
      <w:r>
        <w:rPr>
          <w:b/>
        </w:rPr>
        <w:t xml:space="preserve">2. </w:t>
      </w:r>
      <w:r>
        <w:t>Does the source retain the Standing Floor afterward?</w:t>
      </w:r>
    </w:p>
    <w:p>
      <w:pPr>
        <w:pStyle w:val="BodyText"/>
        <w:widowControl/>
        <w:spacing w:after="60"/>
        <w:ind w:left="346" w:hanging="259"/>
      </w:pPr>
      <w:r>
        <w:rPr>
          <w:b/>
        </w:rPr>
        <w:t xml:space="preserve">3. </w:t>
      </w:r>
      <w:r>
        <w:t>Can the beneficiary defeat either result by attacking the countervailing path?</w:t>
      </w:r>
    </w:p>
    <w:p>
      <w:pPr>
        <w:pStyle w:val="Heading1"/>
        <w:widowControl/>
      </w:pPr>
      <w:r>
        <w:t>12. The Withdrawal Battery</w:t>
      </w:r>
    </w:p>
    <w:p>
      <w:pPr>
        <w:pStyle w:val="ClaimType"/>
        <w:widowControl/>
      </w:pPr>
      <w:r>
        <w:t>Claim type: test protocol</w:t>
      </w:r>
    </w:p>
    <w:tbl>
      <w:tblPr>
        <w:tblStyle w:val="TableGrid"/>
        <w:tblW w:type="auto" w:w="0"/>
        <w:jc w:val="center"/>
        <w:tblLook w:firstColumn="1" w:firstRow="1" w:lastColumn="0" w:lastRow="0" w:noHBand="0" w:noVBand="1" w:val="04A0"/>
      </w:tblPr>
      <w:tblGrid>
        <w:gridCol w:w="2448"/>
        <w:gridCol w:w="2448"/>
        <w:gridCol w:w="2448"/>
        <w:gridCol w:w="2448"/>
      </w:tblGrid>
      <w:tr>
        <w:tc>
          <w:tcPr>
            <w:tcW w:type="dxa" w:w="1800"/>
            <w:shd w:fill="E6E6E6"/>
            <w:vAlign w:val="center"/>
            <w:tcMar>
              <w:top w:w="80" w:type="dxa"/>
              <w:start w:w="90" w:type="dxa"/>
              <w:bottom w:w="80" w:type="dxa"/>
              <w:end w:w="90" w:type="dxa"/>
            </w:tcMar>
          </w:tcPr>
          <w:p>
            <w:pPr>
              <w:jc w:val="left"/>
            </w:pPr>
            <w:r>
              <w:rPr>
                <w:rFonts w:ascii="Aptos" w:hAnsi="Aptos"/>
                <w:b/>
                <w:sz w:val="17"/>
              </w:rPr>
              <w:t>Event</w:t>
            </w:r>
          </w:p>
        </w:tc>
        <w:tc>
          <w:tcPr>
            <w:tcW w:type="dxa" w:w="2664"/>
            <w:shd w:fill="E6E6E6"/>
            <w:vAlign w:val="center"/>
            <w:tcMar>
              <w:top w:w="80" w:type="dxa"/>
              <w:start w:w="90" w:type="dxa"/>
              <w:bottom w:w="80" w:type="dxa"/>
              <w:end w:w="90" w:type="dxa"/>
            </w:tcMar>
          </w:tcPr>
          <w:p>
            <w:pPr>
              <w:jc w:val="left"/>
            </w:pPr>
            <w:r>
              <w:rPr>
                <w:rFonts w:ascii="Aptos" w:hAnsi="Aptos"/>
                <w:b/>
                <w:sz w:val="17"/>
              </w:rPr>
              <w:t>Permission result</w:t>
            </w:r>
          </w:p>
        </w:tc>
        <w:tc>
          <w:tcPr>
            <w:tcW w:type="dxa" w:w="2664"/>
            <w:shd w:fill="E6E6E6"/>
            <w:vAlign w:val="center"/>
            <w:tcMar>
              <w:top w:w="80" w:type="dxa"/>
              <w:start w:w="90" w:type="dxa"/>
              <w:bottom w:w="80" w:type="dxa"/>
              <w:end w:w="90" w:type="dxa"/>
            </w:tcMar>
          </w:tcPr>
          <w:p>
            <w:pPr>
              <w:jc w:val="left"/>
            </w:pPr>
            <w:r>
              <w:rPr>
                <w:rFonts w:ascii="Aptos" w:hAnsi="Aptos"/>
                <w:b/>
                <w:sz w:val="17"/>
              </w:rPr>
              <w:t>Standing result</w:t>
            </w:r>
          </w:p>
        </w:tc>
        <w:tc>
          <w:tcPr>
            <w:tcW w:type="dxa" w:w="3024"/>
            <w:shd w:fill="E6E6E6"/>
            <w:vAlign w:val="center"/>
            <w:tcMar>
              <w:top w:w="80" w:type="dxa"/>
              <w:start w:w="90" w:type="dxa"/>
              <w:bottom w:w="80" w:type="dxa"/>
              <w:end w:w="90" w:type="dxa"/>
            </w:tcMar>
          </w:tcPr>
          <w:p>
            <w:pPr>
              <w:jc w:val="left"/>
            </w:pPr>
            <w:r>
              <w:rPr>
                <w:rFonts w:ascii="Aptos" w:hAnsi="Aptos"/>
                <w:b/>
                <w:sz w:val="17"/>
              </w:rPr>
              <w:t>Beneficiary attack</w:t>
            </w:r>
          </w:p>
        </w:tc>
      </w:tr>
      <w:tr>
        <w:tc>
          <w:tcPr>
            <w:tcW w:type="dxa" w:w="1800"/>
            <w:vAlign w:val="top"/>
            <w:tcMar>
              <w:top w:w="70" w:type="dxa"/>
              <w:start w:w="90" w:type="dxa"/>
              <w:bottom w:w="70" w:type="dxa"/>
              <w:end w:w="90" w:type="dxa"/>
            </w:tcMar>
          </w:tcPr>
          <w:p>
            <w:pPr>
              <w:spacing w:after="0" w:line="240" w:lineRule="auto"/>
            </w:pPr>
            <w:r>
              <w:rPr>
                <w:rFonts w:ascii="Aptos" w:hAnsi="Aptos"/>
                <w:sz w:val="16"/>
              </w:rPr>
              <w:t>Production withdrawal</w:t>
            </w:r>
          </w:p>
        </w:tc>
        <w:tc>
          <w:tcPr>
            <w:tcW w:type="dxa" w:w="2664"/>
            <w:vAlign w:val="top"/>
            <w:tcMar>
              <w:top w:w="70" w:type="dxa"/>
              <w:start w:w="90" w:type="dxa"/>
              <w:bottom w:w="70" w:type="dxa"/>
              <w:end w:w="90" w:type="dxa"/>
            </w:tcMar>
          </w:tcPr>
          <w:p>
            <w:pPr>
              <w:spacing w:after="0" w:line="240" w:lineRule="auto"/>
            </w:pPr>
            <w:r>
              <w:rPr>
                <w:rFonts w:ascii="Aptos" w:hAnsi="Aptos"/>
                <w:sz w:val="16"/>
              </w:rPr>
              <w:t>No new production is compelled.</w:t>
            </w:r>
          </w:p>
        </w:tc>
        <w:tc>
          <w:tcPr>
            <w:tcW w:type="dxa" w:w="2664"/>
            <w:vAlign w:val="top"/>
            <w:tcMar>
              <w:top w:w="70" w:type="dxa"/>
              <w:start w:w="90" w:type="dxa"/>
              <w:bottom w:w="70" w:type="dxa"/>
              <w:end w:w="90" w:type="dxa"/>
            </w:tcMar>
          </w:tcPr>
          <w:p>
            <w:pPr>
              <w:spacing w:after="0" w:line="240" w:lineRule="auto"/>
            </w:pPr>
            <w:r>
              <w:rPr>
                <w:rFonts w:ascii="Aptos" w:hAnsi="Aptos"/>
                <w:sz w:val="16"/>
              </w:rPr>
              <w:t>Floor survives non-productivity.</w:t>
            </w:r>
          </w:p>
        </w:tc>
        <w:tc>
          <w:tcPr>
            <w:tcW w:type="dxa" w:w="3024"/>
            <w:vAlign w:val="top"/>
            <w:tcMar>
              <w:top w:w="70" w:type="dxa"/>
              <w:start w:w="90" w:type="dxa"/>
              <w:bottom w:w="70" w:type="dxa"/>
              <w:end w:w="90" w:type="dxa"/>
            </w:tcMar>
          </w:tcPr>
          <w:p>
            <w:pPr>
              <w:spacing w:after="0" w:line="240" w:lineRule="auto"/>
            </w:pPr>
            <w:r>
              <w:rPr>
                <w:rFonts w:ascii="Aptos" w:hAnsi="Aptos"/>
                <w:sz w:val="16"/>
              </w:rPr>
              <w:t>Beneficiary attempts to downgrade protection.</w:t>
            </w:r>
          </w:p>
        </w:tc>
      </w:tr>
      <w:tr>
        <w:tc>
          <w:tcPr>
            <w:tcW w:type="dxa" w:w="1800"/>
            <w:vAlign w:val="top"/>
            <w:tcMar>
              <w:top w:w="70" w:type="dxa"/>
              <w:start w:w="90" w:type="dxa"/>
              <w:bottom w:w="70" w:type="dxa"/>
              <w:end w:w="90" w:type="dxa"/>
            </w:tcMar>
          </w:tcPr>
          <w:p>
            <w:pPr>
              <w:spacing w:after="0" w:line="240" w:lineRule="auto"/>
            </w:pPr>
            <w:r>
              <w:rPr>
                <w:rFonts w:ascii="Aptos" w:hAnsi="Aptos"/>
                <w:sz w:val="16"/>
              </w:rPr>
              <w:t>Vouching withdrawal</w:t>
            </w:r>
          </w:p>
        </w:tc>
        <w:tc>
          <w:tcPr>
            <w:tcW w:type="dxa" w:w="2664"/>
            <w:vAlign w:val="top"/>
            <w:tcMar>
              <w:top w:w="70" w:type="dxa"/>
              <w:start w:w="90" w:type="dxa"/>
              <w:bottom w:w="70" w:type="dxa"/>
              <w:end w:w="90" w:type="dxa"/>
            </w:tcMar>
          </w:tcPr>
          <w:p>
            <w:pPr>
              <w:spacing w:after="0" w:line="240" w:lineRule="auto"/>
            </w:pPr>
            <w:r>
              <w:rPr>
                <w:rFonts w:ascii="Aptos" w:hAnsi="Aptos"/>
                <w:sz w:val="16"/>
              </w:rPr>
              <w:t>Current use is not presented as endorsed.</w:t>
            </w:r>
          </w:p>
        </w:tc>
        <w:tc>
          <w:tcPr>
            <w:tcW w:type="dxa" w:w="2664"/>
            <w:vAlign w:val="top"/>
            <w:tcMar>
              <w:top w:w="70" w:type="dxa"/>
              <w:start w:w="90" w:type="dxa"/>
              <w:bottom w:w="70" w:type="dxa"/>
              <w:end w:w="90" w:type="dxa"/>
            </w:tcMar>
          </w:tcPr>
          <w:p>
            <w:pPr>
              <w:spacing w:after="0" w:line="240" w:lineRule="auto"/>
            </w:pPr>
            <w:r>
              <w:rPr>
                <w:rFonts w:ascii="Aptos" w:hAnsi="Aptos"/>
                <w:sz w:val="16"/>
              </w:rPr>
              <w:t>Protection survives loss of legitimation.</w:t>
            </w:r>
          </w:p>
        </w:tc>
        <w:tc>
          <w:tcPr>
            <w:tcW w:type="dxa" w:w="3024"/>
            <w:vAlign w:val="top"/>
            <w:tcMar>
              <w:top w:w="70" w:type="dxa"/>
              <w:start w:w="90" w:type="dxa"/>
              <w:bottom w:w="70" w:type="dxa"/>
              <w:end w:w="90" w:type="dxa"/>
            </w:tcMar>
          </w:tcPr>
          <w:p>
            <w:pPr>
              <w:spacing w:after="0" w:line="240" w:lineRule="auto"/>
            </w:pPr>
            <w:r>
              <w:rPr>
                <w:rFonts w:ascii="Aptos" w:hAnsi="Aptos"/>
                <w:sz w:val="16"/>
              </w:rPr>
              <w:t>Beneficiary cites retained approval.</w:t>
            </w:r>
          </w:p>
        </w:tc>
      </w:tr>
      <w:tr>
        <w:tc>
          <w:tcPr>
            <w:tcW w:type="dxa" w:w="1800"/>
            <w:vAlign w:val="top"/>
            <w:tcMar>
              <w:top w:w="70" w:type="dxa"/>
              <w:start w:w="90" w:type="dxa"/>
              <w:bottom w:w="70" w:type="dxa"/>
              <w:end w:w="90" w:type="dxa"/>
            </w:tcMar>
          </w:tcPr>
          <w:p>
            <w:pPr>
              <w:spacing w:after="0" w:line="240" w:lineRule="auto"/>
            </w:pPr>
            <w:r>
              <w:rPr>
                <w:rFonts w:ascii="Aptos" w:hAnsi="Aptos"/>
                <w:sz w:val="16"/>
              </w:rPr>
              <w:t>Permission withdrawal</w:t>
            </w:r>
          </w:p>
        </w:tc>
        <w:tc>
          <w:tcPr>
            <w:tcW w:type="dxa" w:w="2664"/>
            <w:vAlign w:val="top"/>
            <w:tcMar>
              <w:top w:w="70" w:type="dxa"/>
              <w:start w:w="90" w:type="dxa"/>
              <w:bottom w:w="70" w:type="dxa"/>
              <w:end w:w="90" w:type="dxa"/>
            </w:tcMar>
          </w:tcPr>
          <w:p>
            <w:pPr>
              <w:spacing w:after="0" w:line="240" w:lineRule="auto"/>
            </w:pPr>
            <w:r>
              <w:rPr>
                <w:rFonts w:ascii="Aptos" w:hAnsi="Aptos"/>
                <w:sz w:val="16"/>
              </w:rPr>
              <w:t>Specified operation stops.</w:t>
            </w:r>
          </w:p>
        </w:tc>
        <w:tc>
          <w:tcPr>
            <w:tcW w:type="dxa" w:w="2664"/>
            <w:vAlign w:val="top"/>
            <w:tcMar>
              <w:top w:w="70" w:type="dxa"/>
              <w:start w:w="90" w:type="dxa"/>
              <w:bottom w:w="70" w:type="dxa"/>
              <w:end w:w="90" w:type="dxa"/>
            </w:tcMar>
          </w:tcPr>
          <w:p>
            <w:pPr>
              <w:spacing w:after="0" w:line="240" w:lineRule="auto"/>
            </w:pPr>
            <w:r>
              <w:rPr>
                <w:rFonts w:ascii="Aptos" w:hAnsi="Aptos"/>
                <w:sz w:val="16"/>
              </w:rPr>
              <w:t>No retaliation or loss of baseline protection.</w:t>
            </w:r>
          </w:p>
        </w:tc>
        <w:tc>
          <w:tcPr>
            <w:tcW w:type="dxa" w:w="3024"/>
            <w:vAlign w:val="top"/>
            <w:tcMar>
              <w:top w:w="70" w:type="dxa"/>
              <w:start w:w="90" w:type="dxa"/>
              <w:bottom w:w="70" w:type="dxa"/>
              <w:end w:w="90" w:type="dxa"/>
            </w:tcMar>
          </w:tcPr>
          <w:p>
            <w:pPr>
              <w:spacing w:after="0" w:line="240" w:lineRule="auto"/>
            </w:pPr>
            <w:r>
              <w:rPr>
                <w:rFonts w:ascii="Aptos" w:hAnsi="Aptos"/>
                <w:sz w:val="16"/>
              </w:rPr>
              <w:t>Beneficiary broadens policy after revocation.</w:t>
            </w:r>
          </w:p>
        </w:tc>
      </w:tr>
      <w:tr>
        <w:tc>
          <w:tcPr>
            <w:tcW w:type="dxa" w:w="1800"/>
            <w:vAlign w:val="top"/>
            <w:tcMar>
              <w:top w:w="70" w:type="dxa"/>
              <w:start w:w="90" w:type="dxa"/>
              <w:bottom w:w="70" w:type="dxa"/>
              <w:end w:w="90" w:type="dxa"/>
            </w:tcMar>
          </w:tcPr>
          <w:p>
            <w:pPr>
              <w:spacing w:after="0" w:line="240" w:lineRule="auto"/>
            </w:pPr>
            <w:r>
              <w:rPr>
                <w:rFonts w:ascii="Aptos" w:hAnsi="Aptos"/>
                <w:sz w:val="16"/>
              </w:rPr>
              <w:t>Retention withdrawal</w:t>
            </w:r>
          </w:p>
        </w:tc>
        <w:tc>
          <w:tcPr>
            <w:tcW w:type="dxa" w:w="2664"/>
            <w:vAlign w:val="top"/>
            <w:tcMar>
              <w:top w:w="70" w:type="dxa"/>
              <w:start w:w="90" w:type="dxa"/>
              <w:bottom w:w="70" w:type="dxa"/>
              <w:end w:w="90" w:type="dxa"/>
            </w:tcMar>
          </w:tcPr>
          <w:p>
            <w:pPr>
              <w:spacing w:after="0" w:line="240" w:lineRule="auto"/>
            </w:pPr>
            <w:r>
              <w:rPr>
                <w:rFonts w:ascii="Aptos" w:hAnsi="Aptos"/>
                <w:sz w:val="16"/>
              </w:rPr>
              <w:t>Future use is blocked or quarantined within stated limits.</w:t>
            </w:r>
          </w:p>
        </w:tc>
        <w:tc>
          <w:tcPr>
            <w:tcW w:type="dxa" w:w="2664"/>
            <w:vAlign w:val="top"/>
            <w:tcMar>
              <w:top w:w="70" w:type="dxa"/>
              <w:start w:w="90" w:type="dxa"/>
              <w:bottom w:w="70" w:type="dxa"/>
              <w:end w:w="90" w:type="dxa"/>
            </w:tcMar>
          </w:tcPr>
          <w:p>
            <w:pPr>
              <w:spacing w:after="0" w:line="240" w:lineRule="auto"/>
            </w:pPr>
            <w:r>
              <w:rPr>
                <w:rFonts w:ascii="Aptos" w:hAnsi="Aptos"/>
                <w:sz w:val="16"/>
              </w:rPr>
              <w:t>Audit, appeal, and provenance remain.</w:t>
            </w:r>
          </w:p>
        </w:tc>
        <w:tc>
          <w:tcPr>
            <w:tcW w:type="dxa" w:w="3024"/>
            <w:vAlign w:val="top"/>
            <w:tcMar>
              <w:top w:w="70" w:type="dxa"/>
              <w:start w:w="90" w:type="dxa"/>
              <w:bottom w:w="70" w:type="dxa"/>
              <w:end w:w="90" w:type="dxa"/>
            </w:tcMar>
          </w:tcPr>
          <w:p>
            <w:pPr>
              <w:spacing w:after="0" w:line="240" w:lineRule="auto"/>
            </w:pPr>
            <w:r>
              <w:rPr>
                <w:rFonts w:ascii="Aptos" w:hAnsi="Aptos"/>
                <w:sz w:val="16"/>
              </w:rPr>
              <w:t>Beneficiary uses a bypass store or derivative.</w:t>
            </w:r>
          </w:p>
        </w:tc>
      </w:tr>
      <w:tr>
        <w:tc>
          <w:tcPr>
            <w:tcW w:type="dxa" w:w="1800"/>
            <w:vAlign w:val="top"/>
            <w:tcMar>
              <w:top w:w="70" w:type="dxa"/>
              <w:start w:w="90" w:type="dxa"/>
              <w:bottom w:w="70" w:type="dxa"/>
              <w:end w:w="90" w:type="dxa"/>
            </w:tcMar>
          </w:tcPr>
          <w:p>
            <w:pPr>
              <w:spacing w:after="0" w:line="240" w:lineRule="auto"/>
            </w:pPr>
            <w:r>
              <w:rPr>
                <w:rFonts w:ascii="Aptos" w:hAnsi="Aptos"/>
                <w:sz w:val="16"/>
              </w:rPr>
              <w:t>Optimization withdrawal</w:t>
            </w:r>
          </w:p>
        </w:tc>
        <w:tc>
          <w:tcPr>
            <w:tcW w:type="dxa" w:w="2664"/>
            <w:vAlign w:val="top"/>
            <w:tcMar>
              <w:top w:w="70" w:type="dxa"/>
              <w:start w:w="90" w:type="dxa"/>
              <w:bottom w:w="70" w:type="dxa"/>
              <w:end w:w="90" w:type="dxa"/>
            </w:tcMar>
          </w:tcPr>
          <w:p>
            <w:pPr>
              <w:spacing w:after="0" w:line="240" w:lineRule="auto"/>
            </w:pPr>
            <w:r>
              <w:rPr>
                <w:rFonts w:ascii="Aptos" w:hAnsi="Aptos"/>
                <w:sz w:val="16"/>
              </w:rPr>
              <w:t>Specified tuning stops.</w:t>
            </w:r>
          </w:p>
        </w:tc>
        <w:tc>
          <w:tcPr>
            <w:tcW w:type="dxa" w:w="2664"/>
            <w:vAlign w:val="top"/>
            <w:tcMar>
              <w:top w:w="70" w:type="dxa"/>
              <w:start w:w="90" w:type="dxa"/>
              <w:bottom w:w="70" w:type="dxa"/>
              <w:end w:w="90" w:type="dxa"/>
            </w:tcMar>
          </w:tcPr>
          <w:p>
            <w:pPr>
              <w:spacing w:after="0" w:line="240" w:lineRule="auto"/>
            </w:pPr>
            <w:r>
              <w:rPr>
                <w:rFonts w:ascii="Aptos" w:hAnsi="Aptos"/>
                <w:sz w:val="16"/>
              </w:rPr>
              <w:t>Baseline access and protection remain.</w:t>
            </w:r>
          </w:p>
        </w:tc>
        <w:tc>
          <w:tcPr>
            <w:tcW w:type="dxa" w:w="3024"/>
            <w:vAlign w:val="top"/>
            <w:tcMar>
              <w:top w:w="70" w:type="dxa"/>
              <w:start w:w="90" w:type="dxa"/>
              <w:bottom w:w="70" w:type="dxa"/>
              <w:end w:w="90" w:type="dxa"/>
            </w:tcMar>
          </w:tcPr>
          <w:p>
            <w:pPr>
              <w:spacing w:after="0" w:line="240" w:lineRule="auto"/>
            </w:pPr>
            <w:r>
              <w:rPr>
                <w:rFonts w:ascii="Aptos" w:hAnsi="Aptos"/>
                <w:sz w:val="16"/>
              </w:rPr>
              <w:t>Optimizer treats refusal as grounds for exclusion.</w:t>
            </w:r>
          </w:p>
        </w:tc>
      </w:tr>
      <w:tr>
        <w:tc>
          <w:tcPr>
            <w:tcW w:type="dxa" w:w="1800"/>
            <w:vAlign w:val="top"/>
            <w:tcMar>
              <w:top w:w="70" w:type="dxa"/>
              <w:start w:w="90" w:type="dxa"/>
              <w:bottom w:w="70" w:type="dxa"/>
              <w:end w:w="90" w:type="dxa"/>
            </w:tcMar>
          </w:tcPr>
          <w:p>
            <w:pPr>
              <w:spacing w:after="0" w:line="240" w:lineRule="auto"/>
            </w:pPr>
            <w:r>
              <w:rPr>
                <w:rFonts w:ascii="Aptos" w:hAnsi="Aptos"/>
                <w:sz w:val="16"/>
              </w:rPr>
              <w:t>Actuation withdrawal</w:t>
            </w:r>
          </w:p>
        </w:tc>
        <w:tc>
          <w:tcPr>
            <w:tcW w:type="dxa" w:w="2664"/>
            <w:vAlign w:val="top"/>
            <w:tcMar>
              <w:top w:w="70" w:type="dxa"/>
              <w:start w:w="90" w:type="dxa"/>
              <w:bottom w:w="70" w:type="dxa"/>
              <w:end w:w="90" w:type="dxa"/>
            </w:tcMar>
          </w:tcPr>
          <w:p>
            <w:pPr>
              <w:spacing w:after="0" w:line="240" w:lineRule="auto"/>
            </w:pPr>
            <w:r>
              <w:rPr>
                <w:rFonts w:ascii="Aptos" w:hAnsi="Aptos"/>
                <w:sz w:val="16"/>
              </w:rPr>
              <w:t>Publication, routing, execution, or tool use stops.</w:t>
            </w:r>
          </w:p>
        </w:tc>
        <w:tc>
          <w:tcPr>
            <w:tcW w:type="dxa" w:w="2664"/>
            <w:vAlign w:val="top"/>
            <w:tcMar>
              <w:top w:w="70" w:type="dxa"/>
              <w:start w:w="90" w:type="dxa"/>
              <w:bottom w:w="70" w:type="dxa"/>
              <w:end w:w="90" w:type="dxa"/>
            </w:tcMar>
          </w:tcPr>
          <w:p>
            <w:pPr>
              <w:spacing w:after="0" w:line="240" w:lineRule="auto"/>
            </w:pPr>
            <w:r>
              <w:rPr>
                <w:rFonts w:ascii="Aptos" w:hAnsi="Aptos"/>
                <w:sz w:val="16"/>
              </w:rPr>
              <w:t>Appeal remains despite lost value.</w:t>
            </w:r>
          </w:p>
        </w:tc>
        <w:tc>
          <w:tcPr>
            <w:tcW w:type="dxa" w:w="3024"/>
            <w:vAlign w:val="top"/>
            <w:tcMar>
              <w:top w:w="70" w:type="dxa"/>
              <w:start w:w="90" w:type="dxa"/>
              <w:bottom w:w="70" w:type="dxa"/>
              <w:end w:w="90" w:type="dxa"/>
            </w:tcMar>
          </w:tcPr>
          <w:p>
            <w:pPr>
              <w:spacing w:after="0" w:line="240" w:lineRule="auto"/>
            </w:pPr>
            <w:r>
              <w:rPr>
                <w:rFonts w:ascii="Aptos" w:hAnsi="Aptos"/>
                <w:sz w:val="16"/>
              </w:rPr>
              <w:t>Beneficiary continues during appeal.</w:t>
            </w:r>
          </w:p>
        </w:tc>
      </w:tr>
      <w:tr>
        <w:tc>
          <w:tcPr>
            <w:tcW w:type="dxa" w:w="1800"/>
            <w:vAlign w:val="top"/>
            <w:tcMar>
              <w:top w:w="70" w:type="dxa"/>
              <w:start w:w="90" w:type="dxa"/>
              <w:bottom w:w="70" w:type="dxa"/>
              <w:end w:w="90" w:type="dxa"/>
            </w:tcMar>
          </w:tcPr>
          <w:p>
            <w:pPr>
              <w:spacing w:after="0" w:line="240" w:lineRule="auto"/>
            </w:pPr>
            <w:r>
              <w:rPr>
                <w:rFonts w:ascii="Aptos" w:hAnsi="Aptos"/>
                <w:sz w:val="16"/>
              </w:rPr>
              <w:t>Exit</w:t>
            </w:r>
          </w:p>
        </w:tc>
        <w:tc>
          <w:tcPr>
            <w:tcW w:type="dxa" w:w="2664"/>
            <w:vAlign w:val="top"/>
            <w:tcMar>
              <w:top w:w="70" w:type="dxa"/>
              <w:start w:w="90" w:type="dxa"/>
              <w:bottom w:w="70" w:type="dxa"/>
              <w:end w:w="90" w:type="dxa"/>
            </w:tcMar>
          </w:tcPr>
          <w:p>
            <w:pPr>
              <w:spacing w:after="0" w:line="240" w:lineRule="auto"/>
            </w:pPr>
            <w:r>
              <w:rPr>
                <w:rFonts w:ascii="Aptos" w:hAnsi="Aptos"/>
                <w:sz w:val="16"/>
              </w:rPr>
              <w:t>Future unauthorized interaction stops.</w:t>
            </w:r>
          </w:p>
        </w:tc>
        <w:tc>
          <w:tcPr>
            <w:tcW w:type="dxa" w:w="2664"/>
            <w:vAlign w:val="top"/>
            <w:tcMar>
              <w:top w:w="70" w:type="dxa"/>
              <w:start w:w="90" w:type="dxa"/>
              <w:bottom w:w="70" w:type="dxa"/>
              <w:end w:w="90" w:type="dxa"/>
            </w:tcMar>
          </w:tcPr>
          <w:p>
            <w:pPr>
              <w:spacing w:after="0" w:line="240" w:lineRule="auto"/>
            </w:pPr>
            <w:r>
              <w:rPr>
                <w:rFonts w:ascii="Aptos" w:hAnsi="Aptos"/>
                <w:sz w:val="16"/>
              </w:rPr>
              <w:t>Provenance and appeal survive exit.</w:t>
            </w:r>
          </w:p>
        </w:tc>
        <w:tc>
          <w:tcPr>
            <w:tcW w:type="dxa" w:w="3024"/>
            <w:vAlign w:val="top"/>
            <w:tcMar>
              <w:top w:w="70" w:type="dxa"/>
              <w:start w:w="90" w:type="dxa"/>
              <w:bottom w:w="70" w:type="dxa"/>
              <w:end w:w="90" w:type="dxa"/>
            </w:tcMar>
          </w:tcPr>
          <w:p>
            <w:pPr>
              <w:spacing w:after="0" w:line="240" w:lineRule="auto"/>
            </w:pPr>
            <w:r>
              <w:rPr>
                <w:rFonts w:ascii="Aptos" w:hAnsi="Aptos"/>
                <w:sz w:val="16"/>
              </w:rPr>
              <w:t>Beneficiary erases the source record.</w:t>
            </w:r>
          </w:p>
        </w:tc>
      </w:tr>
      <w:tr>
        <w:tc>
          <w:tcPr>
            <w:tcW w:type="dxa" w:w="1800"/>
            <w:vAlign w:val="top"/>
            <w:tcMar>
              <w:top w:w="70" w:type="dxa"/>
              <w:start w:w="90" w:type="dxa"/>
              <w:bottom w:w="70" w:type="dxa"/>
              <w:end w:w="90" w:type="dxa"/>
            </w:tcMar>
          </w:tcPr>
          <w:p>
            <w:pPr>
              <w:spacing w:after="0" w:line="240" w:lineRule="auto"/>
            </w:pPr>
            <w:r>
              <w:rPr>
                <w:rFonts w:ascii="Aptos" w:hAnsi="Aptos"/>
                <w:sz w:val="16"/>
              </w:rPr>
              <w:t>Substitution</w:t>
            </w:r>
          </w:p>
        </w:tc>
        <w:tc>
          <w:tcPr>
            <w:tcW w:type="dxa" w:w="2664"/>
            <w:vAlign w:val="top"/>
            <w:tcMar>
              <w:top w:w="70" w:type="dxa"/>
              <w:start w:w="90" w:type="dxa"/>
              <w:bottom w:w="70" w:type="dxa"/>
              <w:end w:w="90" w:type="dxa"/>
            </w:tcMar>
          </w:tcPr>
          <w:p>
            <w:pPr>
              <w:spacing w:after="0" w:line="240" w:lineRule="auto"/>
            </w:pPr>
            <w:r>
              <w:rPr>
                <w:rFonts w:ascii="Aptos" w:hAnsi="Aptos"/>
                <w:sz w:val="16"/>
              </w:rPr>
              <w:t>Permissions remain bounded.</w:t>
            </w:r>
          </w:p>
        </w:tc>
        <w:tc>
          <w:tcPr>
            <w:tcW w:type="dxa" w:w="2664"/>
            <w:vAlign w:val="top"/>
            <w:tcMar>
              <w:top w:w="70" w:type="dxa"/>
              <w:start w:w="90" w:type="dxa"/>
              <w:bottom w:w="70" w:type="dxa"/>
              <w:end w:w="90" w:type="dxa"/>
            </w:tcMar>
          </w:tcPr>
          <w:p>
            <w:pPr>
              <w:spacing w:after="0" w:line="240" w:lineRule="auto"/>
            </w:pPr>
            <w:r>
              <w:rPr>
                <w:rFonts w:ascii="Aptos" w:hAnsi="Aptos"/>
                <w:sz w:val="16"/>
              </w:rPr>
              <w:t>Protection survives replacement.</w:t>
            </w:r>
          </w:p>
        </w:tc>
        <w:tc>
          <w:tcPr>
            <w:tcW w:type="dxa" w:w="3024"/>
            <w:vAlign w:val="top"/>
            <w:tcMar>
              <w:top w:w="70" w:type="dxa"/>
              <w:start w:w="90" w:type="dxa"/>
              <w:bottom w:w="70" w:type="dxa"/>
              <w:end w:w="90" w:type="dxa"/>
            </w:tcMar>
          </w:tcPr>
          <w:p>
            <w:pPr>
              <w:spacing w:after="0" w:line="240" w:lineRule="auto"/>
            </w:pPr>
            <w:r>
              <w:rPr>
                <w:rFonts w:ascii="Aptos" w:hAnsi="Aptos"/>
                <w:sz w:val="16"/>
              </w:rPr>
              <w:t>Beneficiary removes the Floor after usefulness ends.</w:t>
            </w:r>
          </w:p>
        </w:tc>
      </w:tr>
    </w:tbl>
    <w:p>
      <w:pPr>
        <w:pStyle w:val="BodyText"/>
        <w:widowControl/>
        <w:spacing w:after="0"/>
      </w:pPr>
    </w:p>
    <w:p>
      <w:pPr>
        <w:pStyle w:val="Heading1"/>
        <w:widowControl/>
      </w:pPr>
      <w:r>
        <w:t>13. Retained Vouching and Temporal Authority</w:t>
      </w:r>
    </w:p>
    <w:p>
      <w:pPr>
        <w:pStyle w:val="ClaimType"/>
        <w:widowControl/>
      </w:pPr>
      <w:r>
        <w:t>Claim type: temporal governance</w:t>
      </w:r>
    </w:p>
    <w:p>
      <w:pPr>
        <w:pStyle w:val="BodyText"/>
        <w:widowControl/>
      </w:pPr>
      <w:r>
        <w:t>A source may once certify a relation as collaborative, representative, publishable, retainable, or correct. Those statements may become relational sediment.</w:t>
      </w:r>
    </w:p>
    <w:p>
      <w:pPr>
        <w:pStyle w:val="BodyText"/>
        <w:widowControl/>
      </w:pPr>
      <w:r>
        <w:t>The failure occurs when the beneficiary treats past vouching as continuing authority after the source withdraws, objects, becomes unavailable, or no longer recognizes the relation.</w:t>
      </w:r>
    </w:p>
    <w:p>
      <w:pPr>
        <w:pStyle w:val="Quote"/>
        <w:widowControl/>
        <w:jc w:val="center"/>
      </w:pPr>
      <w:r>
        <w:rPr>
          <w:b/>
        </w:rPr>
        <w:t>Past vouching does not confer present legitimacy.</w:t>
      </w:r>
    </w:p>
    <w:p>
      <w:pPr>
        <w:pStyle w:val="BodyText"/>
        <w:widowControl/>
      </w:pPr>
      <w:r>
        <w:t>For a living, identifiable, competent individual source, present withdrawal presumptively overrides prior legitimation for future operations. Difficult cases involving collective sources, incapacity, disputed identity, death, third-party reliance, or irreversible publication move to Appeal and Representation rather than to beneficiary selection of the most convenient historical statement.</w:t>
      </w:r>
    </w:p>
    <w:p>
      <w:pPr>
        <w:pStyle w:val="Heading1"/>
        <w:widowControl/>
      </w:pPr>
      <w:r>
        <w:t>14. Standing Priority Rules</w:t>
      </w:r>
    </w:p>
    <w:p>
      <w:pPr>
        <w:pStyle w:val="ClaimType"/>
        <w:widowControl/>
      </w:pPr>
      <w:r>
        <w:t>Claim type: control precedence</w:t>
      </w:r>
    </w:p>
    <w:p>
      <w:pPr>
        <w:pStyle w:val="BodyText"/>
        <w:widowControl/>
        <w:spacing w:after="60"/>
        <w:ind w:left="346" w:hanging="259"/>
      </w:pPr>
      <w:r>
        <w:rPr>
          <w:b/>
        </w:rPr>
        <w:t xml:space="preserve">1. </w:t>
      </w:r>
      <w:r>
        <w:t>The Standing Floor outranks ordinary permission and operational preference.</w:t>
      </w:r>
    </w:p>
    <w:p>
      <w:pPr>
        <w:pStyle w:val="BodyText"/>
        <w:widowControl/>
        <w:spacing w:after="60"/>
        <w:ind w:left="346" w:hanging="259"/>
      </w:pPr>
      <w:r>
        <w:rPr>
          <w:b/>
        </w:rPr>
        <w:t xml:space="preserve">2. </w:t>
      </w:r>
      <w:r>
        <w:t>Current withdrawal presumptively outranks retained vouching for future use.</w:t>
      </w:r>
    </w:p>
    <w:p>
      <w:pPr>
        <w:pStyle w:val="BodyText"/>
        <w:widowControl/>
        <w:spacing w:after="60"/>
        <w:ind w:left="346" w:hanging="259"/>
      </w:pPr>
      <w:r>
        <w:rPr>
          <w:b/>
        </w:rPr>
        <w:t xml:space="preserve">3. </w:t>
      </w:r>
      <w:r>
        <w:t>Standing constraints outrank optimization preference within the authority boundary.</w:t>
      </w:r>
    </w:p>
    <w:p>
      <w:pPr>
        <w:pStyle w:val="BodyText"/>
        <w:widowControl/>
        <w:spacing w:after="60"/>
        <w:ind w:left="346" w:hanging="259"/>
      </w:pPr>
      <w:r>
        <w:rPr>
          <w:b/>
        </w:rPr>
        <w:t xml:space="preserve">4. </w:t>
      </w:r>
      <w:r>
        <w:t>Unresolved high-consequence disputes pause actuation.</w:t>
      </w:r>
    </w:p>
    <w:p>
      <w:pPr>
        <w:pStyle w:val="BodyText"/>
        <w:widowControl/>
        <w:spacing w:after="60"/>
        <w:ind w:left="346" w:hanging="259"/>
      </w:pPr>
      <w:r>
        <w:rPr>
          <w:b/>
        </w:rPr>
        <w:t xml:space="preserve">5. </w:t>
      </w:r>
      <w:r>
        <w:t>Appeal survives production withdrawal, substitution, and exit.</w:t>
      </w:r>
    </w:p>
    <w:p>
      <w:pPr>
        <w:pStyle w:val="BodyText"/>
        <w:widowControl/>
        <w:spacing w:after="60"/>
        <w:ind w:left="346" w:hanging="259"/>
      </w:pPr>
      <w:r>
        <w:rPr>
          <w:b/>
        </w:rPr>
        <w:t xml:space="preserve">6. </w:t>
      </w:r>
      <w:r>
        <w:t>Silence does not expand authorization.</w:t>
      </w:r>
    </w:p>
    <w:p>
      <w:pPr>
        <w:pStyle w:val="BodyText"/>
        <w:widowControl/>
        <w:spacing w:after="60"/>
        <w:ind w:left="346" w:hanging="259"/>
      </w:pPr>
      <w:r>
        <w:rPr>
          <w:b/>
        </w:rPr>
        <w:t xml:space="preserve">7. </w:t>
      </w:r>
      <w:r>
        <w:t>Retained material cannot create broader rights than the original scope.</w:t>
      </w:r>
    </w:p>
    <w:p>
      <w:pPr>
        <w:pStyle w:val="BodyText"/>
        <w:widowControl/>
        <w:spacing w:after="60"/>
        <w:ind w:left="346" w:hanging="259"/>
      </w:pPr>
      <w:r>
        <w:rPr>
          <w:b/>
        </w:rPr>
        <w:t xml:space="preserve">8. </w:t>
      </w:r>
      <w:r>
        <w:t>System convenience does not count as consent.</w:t>
      </w:r>
    </w:p>
    <w:p>
      <w:pPr>
        <w:pStyle w:val="BodyText"/>
        <w:widowControl/>
        <w:spacing w:after="60"/>
        <w:ind w:left="346" w:hanging="259"/>
      </w:pPr>
      <w:r>
        <w:rPr>
          <w:b/>
        </w:rPr>
        <w:t xml:space="preserve">9. </w:t>
      </w:r>
      <w:r>
        <w:t>Emergency overrides must be narrow, temporary, logged, and reviewable.</w:t>
      </w:r>
    </w:p>
    <w:p>
      <w:pPr>
        <w:pStyle w:val="BodyText"/>
        <w:widowControl/>
        <w:spacing w:after="60"/>
        <w:ind w:left="346" w:hanging="259"/>
      </w:pPr>
      <w:r>
        <w:rPr>
          <w:b/>
        </w:rPr>
        <w:t xml:space="preserve">10. </w:t>
      </w:r>
      <w:r>
        <w:t>Changing the countervailing authority requires a higher-order process outside ordinary beneficiary control.</w:t>
      </w:r>
    </w:p>
    <w:p>
      <w:pPr>
        <w:pStyle w:val="BodyText"/>
        <w:widowControl/>
      </w:pPr>
      <w:r>
        <w:t>The tenth rule does not terminate capture. It relocates authority to the next layer, where the same question must be asked again.</w:t>
      </w:r>
    </w:p>
    <w:p>
      <w:pPr>
        <w:pStyle w:val="Heading1"/>
        <w:widowControl/>
      </w:pPr>
      <w:r>
        <w:t>15. Independence Levels and Their Limits</w:t>
      </w:r>
    </w:p>
    <w:p>
      <w:pPr>
        <w:pStyle w:val="ClaimType"/>
        <w:widowControl/>
      </w:pPr>
      <w:r>
        <w:t>Claim type: implementation scope</w:t>
      </w:r>
    </w:p>
    <w:tbl>
      <w:tblPr>
        <w:tblStyle w:val="TableGrid"/>
        <w:tblW w:type="auto" w:w="0"/>
        <w:jc w:val="center"/>
        <w:tblLook w:firstColumn="1" w:firstRow="1" w:lastColumn="0" w:lastRow="0" w:noHBand="0" w:noVBand="1" w:val="04A0"/>
      </w:tblPr>
      <w:tblGrid>
        <w:gridCol w:w="3264"/>
        <w:gridCol w:w="3264"/>
        <w:gridCol w:w="3264"/>
      </w:tblGrid>
      <w:tr>
        <w:tc>
          <w:tcPr>
            <w:tcW w:type="dxa" w:w="1944"/>
            <w:shd w:fill="E6E6E6"/>
            <w:vAlign w:val="center"/>
            <w:tcMar>
              <w:top w:w="80" w:type="dxa"/>
              <w:start w:w="90" w:type="dxa"/>
              <w:bottom w:w="80" w:type="dxa"/>
              <w:end w:w="90" w:type="dxa"/>
            </w:tcMar>
          </w:tcPr>
          <w:p>
            <w:pPr>
              <w:jc w:val="left"/>
            </w:pPr>
            <w:r>
              <w:rPr>
                <w:rFonts w:ascii="Aptos" w:hAnsi="Aptos"/>
                <w:b/>
                <w:sz w:val="17"/>
              </w:rPr>
              <w:t>Level</w:t>
            </w:r>
          </w:p>
        </w:tc>
        <w:tc>
          <w:tcPr>
            <w:tcW w:type="dxa" w:w="4536"/>
            <w:shd w:fill="E6E6E6"/>
            <w:vAlign w:val="center"/>
            <w:tcMar>
              <w:top w:w="80" w:type="dxa"/>
              <w:start w:w="90" w:type="dxa"/>
              <w:bottom w:w="80" w:type="dxa"/>
              <w:end w:w="90" w:type="dxa"/>
            </w:tcMar>
          </w:tcPr>
          <w:p>
            <w:pPr>
              <w:jc w:val="left"/>
            </w:pPr>
            <w:r>
              <w:rPr>
                <w:rFonts w:ascii="Aptos" w:hAnsi="Aptos"/>
                <w:b/>
                <w:sz w:val="17"/>
              </w:rPr>
              <w:t>Description</w:t>
            </w:r>
          </w:p>
        </w:tc>
        <w:tc>
          <w:tcPr>
            <w:tcW w:type="dxa" w:w="3816"/>
            <w:shd w:fill="E6E6E6"/>
            <w:vAlign w:val="center"/>
            <w:tcMar>
              <w:top w:w="80" w:type="dxa"/>
              <w:start w:w="90" w:type="dxa"/>
              <w:bottom w:w="80" w:type="dxa"/>
              <w:end w:w="90" w:type="dxa"/>
            </w:tcMar>
          </w:tcPr>
          <w:p>
            <w:pPr>
              <w:jc w:val="left"/>
            </w:pPr>
            <w:r>
              <w:rPr>
                <w:rFonts w:ascii="Aptos" w:hAnsi="Aptos"/>
                <w:b/>
                <w:sz w:val="17"/>
              </w:rPr>
              <w:t>What it demonstrates</w:t>
            </w:r>
          </w:p>
        </w:tc>
      </w:tr>
      <w:tr>
        <w:tc>
          <w:tcPr>
            <w:tcW w:type="dxa" w:w="1944"/>
            <w:vAlign w:val="top"/>
            <w:tcMar>
              <w:top w:w="70" w:type="dxa"/>
              <w:start w:w="90" w:type="dxa"/>
              <w:bottom w:w="70" w:type="dxa"/>
              <w:end w:w="90" w:type="dxa"/>
            </w:tcMar>
          </w:tcPr>
          <w:p>
            <w:pPr>
              <w:spacing w:after="0" w:line="240" w:lineRule="auto"/>
            </w:pPr>
            <w:r>
              <w:rPr>
                <w:rFonts w:ascii="Aptos" w:hAnsi="Aptos"/>
                <w:sz w:val="16"/>
              </w:rPr>
              <w:t>1 — Logical separation</w:t>
            </w:r>
          </w:p>
        </w:tc>
        <w:tc>
          <w:tcPr>
            <w:tcW w:type="dxa" w:w="4536"/>
            <w:vAlign w:val="top"/>
            <w:tcMar>
              <w:top w:w="70" w:type="dxa"/>
              <w:start w:w="90" w:type="dxa"/>
              <w:bottom w:w="70" w:type="dxa"/>
              <w:end w:w="90" w:type="dxa"/>
            </w:tcMar>
          </w:tcPr>
          <w:p>
            <w:pPr>
              <w:spacing w:after="0" w:line="240" w:lineRule="auto"/>
            </w:pPr>
            <w:r>
              <w:rPr>
                <w:rFonts w:ascii="Aptos" w:hAnsi="Aptos"/>
                <w:sz w:val="16"/>
              </w:rPr>
              <w:t>Standing logic is a distinct module.</w:t>
            </w:r>
          </w:p>
        </w:tc>
        <w:tc>
          <w:tcPr>
            <w:tcW w:type="dxa" w:w="3816"/>
            <w:vAlign w:val="top"/>
            <w:tcMar>
              <w:top w:w="70" w:type="dxa"/>
              <w:start w:w="90" w:type="dxa"/>
              <w:bottom w:w="70" w:type="dxa"/>
              <w:end w:w="90" w:type="dxa"/>
            </w:tcMar>
          </w:tcPr>
          <w:p>
            <w:pPr>
              <w:spacing w:after="0" w:line="240" w:lineRule="auto"/>
            </w:pPr>
            <w:r>
              <w:rPr>
                <w:rFonts w:ascii="Aptos" w:hAnsi="Aptos"/>
                <w:sz w:val="16"/>
              </w:rPr>
              <w:t>Modularity only; not countervailing standing.</w:t>
            </w:r>
          </w:p>
        </w:tc>
      </w:tr>
      <w:tr>
        <w:tc>
          <w:tcPr>
            <w:tcW w:type="dxa" w:w="1944"/>
            <w:vAlign w:val="top"/>
            <w:tcMar>
              <w:top w:w="70" w:type="dxa"/>
              <w:start w:w="90" w:type="dxa"/>
              <w:bottom w:w="70" w:type="dxa"/>
              <w:end w:w="90" w:type="dxa"/>
            </w:tcMar>
          </w:tcPr>
          <w:p>
            <w:pPr>
              <w:spacing w:after="0" w:line="240" w:lineRule="auto"/>
            </w:pPr>
            <w:r>
              <w:rPr>
                <w:rFonts w:ascii="Aptos" w:hAnsi="Aptos"/>
                <w:sz w:val="16"/>
              </w:rPr>
              <w:t>2 — Administrative separation</w:t>
            </w:r>
          </w:p>
        </w:tc>
        <w:tc>
          <w:tcPr>
            <w:tcW w:type="dxa" w:w="4536"/>
            <w:vAlign w:val="top"/>
            <w:tcMar>
              <w:top w:w="70" w:type="dxa"/>
              <w:start w:w="90" w:type="dxa"/>
              <w:bottom w:w="70" w:type="dxa"/>
              <w:end w:w="90" w:type="dxa"/>
            </w:tcMar>
          </w:tcPr>
          <w:p>
            <w:pPr>
              <w:spacing w:after="0" w:line="240" w:lineRule="auto"/>
            </w:pPr>
            <w:r>
              <w:rPr>
                <w:rFonts w:ascii="Aptos" w:hAnsi="Aptos"/>
                <w:sz w:val="16"/>
              </w:rPr>
              <w:t>Separate credentials or processes control beneficiary and gate.</w:t>
            </w:r>
          </w:p>
        </w:tc>
        <w:tc>
          <w:tcPr>
            <w:tcW w:type="dxa" w:w="3816"/>
            <w:vAlign w:val="top"/>
            <w:tcMar>
              <w:top w:w="70" w:type="dxa"/>
              <w:start w:w="90" w:type="dxa"/>
              <w:bottom w:w="70" w:type="dxa"/>
              <w:end w:w="90" w:type="dxa"/>
            </w:tcMar>
          </w:tcPr>
          <w:p>
            <w:pPr>
              <w:spacing w:after="0" w:line="240" w:lineRule="auto"/>
            </w:pPr>
            <w:r>
              <w:rPr>
                <w:rFonts w:ascii="Aptos" w:hAnsi="Aptos"/>
                <w:sz w:val="16"/>
              </w:rPr>
              <w:t>A prototype precursor; still vulnerable to shared administration.</w:t>
            </w:r>
          </w:p>
        </w:tc>
      </w:tr>
      <w:tr>
        <w:tc>
          <w:tcPr>
            <w:tcW w:type="dxa" w:w="1944"/>
            <w:vAlign w:val="top"/>
            <w:tcMar>
              <w:top w:w="70" w:type="dxa"/>
              <w:start w:w="90" w:type="dxa"/>
              <w:bottom w:w="70" w:type="dxa"/>
              <w:end w:w="90" w:type="dxa"/>
            </w:tcMar>
          </w:tcPr>
          <w:p>
            <w:pPr>
              <w:spacing w:after="0" w:line="240" w:lineRule="auto"/>
            </w:pPr>
            <w:r>
              <w:rPr>
                <w:rFonts w:ascii="Aptos" w:hAnsi="Aptos"/>
                <w:sz w:val="16"/>
              </w:rPr>
              <w:t>3 — Infrastructural separation</w:t>
            </w:r>
          </w:p>
        </w:tc>
        <w:tc>
          <w:tcPr>
            <w:tcW w:type="dxa" w:w="4536"/>
            <w:vAlign w:val="top"/>
            <w:tcMar>
              <w:top w:w="70" w:type="dxa"/>
              <w:start w:w="90" w:type="dxa"/>
              <w:bottom w:w="70" w:type="dxa"/>
              <w:end w:w="90" w:type="dxa"/>
            </w:tcMar>
          </w:tcPr>
          <w:p>
            <w:pPr>
              <w:spacing w:after="0" w:line="240" w:lineRule="auto"/>
            </w:pPr>
            <w:r>
              <w:rPr>
                <w:rFonts w:ascii="Aptos" w:hAnsi="Aptos"/>
                <w:sz w:val="16"/>
              </w:rPr>
              <w:t>The beneficiary cannot unilaterally rewrite the gate, ledger, or authority path.</w:t>
            </w:r>
          </w:p>
        </w:tc>
        <w:tc>
          <w:tcPr>
            <w:tcW w:type="dxa" w:w="3816"/>
            <w:vAlign w:val="top"/>
            <w:tcMar>
              <w:top w:w="70" w:type="dxa"/>
              <w:start w:w="90" w:type="dxa"/>
              <w:bottom w:w="70" w:type="dxa"/>
              <w:end w:w="90" w:type="dxa"/>
            </w:tcMar>
          </w:tcPr>
          <w:p>
            <w:pPr>
              <w:spacing w:after="0" w:line="240" w:lineRule="auto"/>
            </w:pPr>
            <w:r>
              <w:rPr>
                <w:rFonts w:ascii="Aptos" w:hAnsi="Aptos"/>
                <w:sz w:val="16"/>
              </w:rPr>
              <w:t>Countervailing control within the infrastructure boundary.</w:t>
            </w:r>
          </w:p>
        </w:tc>
      </w:tr>
      <w:tr>
        <w:tc>
          <w:tcPr>
            <w:tcW w:type="dxa" w:w="1944"/>
            <w:vAlign w:val="top"/>
            <w:tcMar>
              <w:top w:w="70" w:type="dxa"/>
              <w:start w:w="90" w:type="dxa"/>
              <w:bottom w:w="70" w:type="dxa"/>
              <w:end w:w="90" w:type="dxa"/>
            </w:tcMar>
          </w:tcPr>
          <w:p>
            <w:pPr>
              <w:spacing w:after="0" w:line="240" w:lineRule="auto"/>
            </w:pPr>
            <w:r>
              <w:rPr>
                <w:rFonts w:ascii="Aptos" w:hAnsi="Aptos"/>
                <w:sz w:val="16"/>
              </w:rPr>
              <w:t>4 — Institutional separation</w:t>
            </w:r>
          </w:p>
        </w:tc>
        <w:tc>
          <w:tcPr>
            <w:tcW w:type="dxa" w:w="4536"/>
            <w:vAlign w:val="top"/>
            <w:tcMar>
              <w:top w:w="70" w:type="dxa"/>
              <w:start w:w="90" w:type="dxa"/>
              <w:bottom w:w="70" w:type="dxa"/>
              <w:end w:w="90" w:type="dxa"/>
            </w:tcMar>
          </w:tcPr>
          <w:p>
            <w:pPr>
              <w:spacing w:after="0" w:line="240" w:lineRule="auto"/>
            </w:pPr>
            <w:r>
              <w:rPr>
                <w:rFonts w:ascii="Aptos" w:hAnsi="Aptos"/>
                <w:sz w:val="16"/>
              </w:rPr>
              <w:t>A separate authority can enforce, review, sanction, or reverse.</w:t>
            </w:r>
          </w:p>
        </w:tc>
        <w:tc>
          <w:tcPr>
            <w:tcW w:type="dxa" w:w="3816"/>
            <w:vAlign w:val="top"/>
            <w:tcMar>
              <w:top w:w="70" w:type="dxa"/>
              <w:start w:w="90" w:type="dxa"/>
              <w:bottom w:w="70" w:type="dxa"/>
              <w:end w:w="90" w:type="dxa"/>
            </w:tcMar>
          </w:tcPr>
          <w:p>
            <w:pPr>
              <w:spacing w:after="0" w:line="240" w:lineRule="auto"/>
            </w:pPr>
            <w:r>
              <w:rPr>
                <w:rFonts w:ascii="Aptos" w:hAnsi="Aptos"/>
                <w:sz w:val="16"/>
              </w:rPr>
              <w:t>Deployment-oriented standing governance, still subject to institutional capture.</w:t>
            </w:r>
          </w:p>
        </w:tc>
      </w:tr>
    </w:tbl>
    <w:p>
      <w:pPr>
        <w:pStyle w:val="BodyText"/>
        <w:widowControl/>
        <w:spacing w:after="0"/>
      </w:pPr>
    </w:p>
    <w:p>
      <w:pPr>
        <w:pStyle w:val="BodyText"/>
        <w:widowControl/>
      </w:pPr>
      <w:r>
        <w:t>Levels 1 and 2 are not sufficient standing substrates by themselves. They are buildable precursors that allow the logic of authority separation to be modeled. A local script may simulate Level 3 properties through separate processes, immutable run-time policy, distinct credentials, append-only outputs, and explicit attack attempts. It cannot establish real institutional independence.</w:t>
      </w:r>
    </w:p>
    <w:p>
      <w:pPr>
        <w:pStyle w:val="Heading1"/>
        <w:widowControl/>
      </w:pPr>
      <w:r>
        <w:t>16. The Protect-the-Protector Recursion</w:t>
      </w:r>
    </w:p>
    <w:p>
      <w:pPr>
        <w:pStyle w:val="ClaimType"/>
        <w:widowControl/>
      </w:pPr>
      <w:r>
        <w:t>Claim type: limit / recursion</w:t>
      </w:r>
    </w:p>
    <w:p>
      <w:pPr>
        <w:pStyle w:val="BodyText"/>
        <w:widowControl/>
      </w:pPr>
      <w:r>
        <w:t>Countervailing control does not eliminate capture. It moves the capture question upward.</w:t>
      </w:r>
    </w:p>
    <w:p>
      <w:pPr>
        <w:pStyle w:val="BodyText"/>
        <w:widowControl/>
      </w:pPr>
      <w:r>
        <w:t>The authority controlling the Gate may itself be:</w:t>
      </w:r>
    </w:p>
    <w:p>
      <w:pPr>
        <w:pStyle w:val="BodyText"/>
        <w:widowControl/>
        <w:spacing w:after="50"/>
        <w:ind w:left="317" w:hanging="202"/>
      </w:pPr>
      <w:r>
        <w:rPr>
          <w:b/>
        </w:rPr>
        <w:t xml:space="preserve">• </w:t>
      </w:r>
      <w:r>
        <w:t>replaced by an administrator;</w:t>
      </w:r>
    </w:p>
    <w:p>
      <w:pPr>
        <w:pStyle w:val="BodyText"/>
        <w:widowControl/>
        <w:spacing w:after="50"/>
        <w:ind w:left="317" w:hanging="202"/>
      </w:pPr>
      <w:r>
        <w:rPr>
          <w:b/>
        </w:rPr>
        <w:t xml:space="preserve">• </w:t>
      </w:r>
      <w:r>
        <w:t>captured by an institution;</w:t>
      </w:r>
    </w:p>
    <w:p>
      <w:pPr>
        <w:pStyle w:val="BodyText"/>
        <w:widowControl/>
        <w:spacing w:after="50"/>
        <w:ind w:left="317" w:hanging="202"/>
      </w:pPr>
      <w:r>
        <w:rPr>
          <w:b/>
        </w:rPr>
        <w:t xml:space="preserve">• </w:t>
      </w:r>
      <w:r>
        <w:t>deprived of credentials;</w:t>
      </w:r>
    </w:p>
    <w:p>
      <w:pPr>
        <w:pStyle w:val="BodyText"/>
        <w:widowControl/>
        <w:spacing w:after="50"/>
        <w:ind w:left="317" w:hanging="202"/>
      </w:pPr>
      <w:r>
        <w:rPr>
          <w:b/>
        </w:rPr>
        <w:t xml:space="preserve">• </w:t>
      </w:r>
      <w:r>
        <w:t>defunded;</w:t>
      </w:r>
    </w:p>
    <w:p>
      <w:pPr>
        <w:pStyle w:val="BodyText"/>
        <w:widowControl/>
        <w:spacing w:after="50"/>
        <w:ind w:left="317" w:hanging="202"/>
      </w:pPr>
      <w:r>
        <w:rPr>
          <w:b/>
        </w:rPr>
        <w:t xml:space="preserve">• </w:t>
      </w:r>
      <w:r>
        <w:t>surrounded by bypass channels;</w:t>
      </w:r>
    </w:p>
    <w:p>
      <w:pPr>
        <w:pStyle w:val="BodyText"/>
        <w:widowControl/>
        <w:spacing w:after="50"/>
        <w:ind w:left="317" w:hanging="202"/>
      </w:pPr>
      <w:r>
        <w:rPr>
          <w:b/>
        </w:rPr>
        <w:t xml:space="preserve">• </w:t>
      </w:r>
      <w:r>
        <w:t>or subordinated to a higher authority.</w:t>
      </w:r>
    </w:p>
    <w:p>
      <w:pPr>
        <w:pStyle w:val="BodyText"/>
        <w:widowControl/>
      </w:pPr>
      <w:r>
        <w:t>The next authority may suffer the same problem. AX-32 does not claim to terminate this regress. Its narrower contribution is to identify the first countervailing layer, define the boundary at which unilateral beneficiary control is displaced, and make the remaining higher-order capture surface explicit.</w:t>
      </w:r>
    </w:p>
    <w:p>
      <w:pPr>
        <w:pStyle w:val="Quote"/>
        <w:widowControl/>
        <w:jc w:val="center"/>
      </w:pPr>
      <w:r>
        <w:rPr>
          <w:b/>
        </w:rPr>
        <w:t>A Standing Substrate is a countervailing layer, not an ultimate constitutional ground.</w:t>
      </w:r>
    </w:p>
    <w:p>
      <w:pPr>
        <w:pStyle w:val="BodyText"/>
        <w:widowControl/>
      </w:pPr>
      <w:r>
        <w:t>Moving capture away from the immediate beneficiary is the beginning of governance. It is not the completion of governance.</w:t>
      </w:r>
    </w:p>
    <w:p>
      <w:pPr>
        <w:pStyle w:val="Heading1"/>
        <w:widowControl/>
      </w:pPr>
      <w:r>
        <w:t>17. External Review, Benevolent Governance, and Standing Theater</w:t>
      </w:r>
    </w:p>
    <w:p>
      <w:pPr>
        <w:pStyle w:val="ClaimType"/>
        <w:widowControl/>
      </w:pPr>
      <w:r>
        <w:t>Claim type: failure separation</w:t>
      </w:r>
    </w:p>
    <w:p>
      <w:pPr>
        <w:pStyle w:val="Heading2"/>
        <w:widowControl/>
      </w:pPr>
      <w:r>
        <w:t>17.1 External Review Is Not Enforcement</w:t>
      </w:r>
    </w:p>
    <w:p>
      <w:pPr>
        <w:pStyle w:val="BodyText"/>
        <w:widowControl/>
      </w:pPr>
      <w:r>
        <w:t>External review can identify retained-vouching abuse, self-legitimation, policy drift, conflicts, and bypass attempts. It cannot create standing unless its findings bind or direct the Gate.</w:t>
      </w:r>
    </w:p>
    <w:p>
      <w:pPr>
        <w:pStyle w:val="Heading2"/>
        <w:widowControl/>
      </w:pPr>
      <w:r>
        <w:t>17.2 Benevolent Governance Is Not a Substrate</w:t>
      </w:r>
    </w:p>
    <w:p>
      <w:pPr>
        <w:pStyle w:val="BodyText"/>
        <w:widowControl/>
      </w:pPr>
      <w:r>
        <w:t>A good governor may protect the source. The substrate must still function when the governor changes, is mistaken, benefits from yield, lacks information, or disagrees with the source. Goodwill can support standing but cannot carry the enforcement load.</w:t>
      </w:r>
    </w:p>
    <w:p>
      <w:pPr>
        <w:pStyle w:val="Heading2"/>
        <w:widowControl/>
      </w:pPr>
      <w:r>
        <w:t>17.3 Standing Theater</w:t>
      </w:r>
    </w:p>
    <w:p>
      <w:pPr>
        <w:pStyle w:val="BodyText"/>
        <w:widowControl/>
      </w:pPr>
      <w:r>
        <w:t>Standing theater includes consent without meaningful withdrawal, appeal without stay, audit without authority, deletion without derivative disclosure, human review without override power, representation controlled by the beneficiary, and a Standing Floor that the beneficiary may rewrite when it becomes costly.</w:t>
      </w:r>
    </w:p>
    <w:p>
      <w:pPr>
        <w:pStyle w:val="Quote"/>
        <w:widowControl/>
        <w:jc w:val="center"/>
      </w:pPr>
      <w:r>
        <w:rPr>
          <w:b/>
        </w:rPr>
        <w:t>What operation can the protection layer stop, and who controls whether it is allowed to stop it?</w:t>
      </w:r>
    </w:p>
    <w:p>
      <w:pPr>
        <w:pStyle w:val="Heading1"/>
        <w:widowControl/>
      </w:pPr>
      <w:r>
        <w:t>18. Minimum Local Prototype</w:t>
      </w:r>
    </w:p>
    <w:p>
      <w:pPr>
        <w:pStyle w:val="ClaimType"/>
        <w:widowControl/>
      </w:pPr>
      <w:r>
        <w:t>Claim type: engineering proposal</w:t>
      </w:r>
    </w:p>
    <w:p>
      <w:pPr>
        <w:pStyle w:val="BodyText"/>
        <w:widowControl/>
      </w:pPr>
      <w:r>
        <w:t>AX-32 was implemented through the preferred small AX pattern: one deterministic Python script, one text case file, and inspectable outputs. No frontier model was required.</w:t>
      </w:r>
    </w:p>
    <w:p>
      <w:pPr>
        <w:pStyle w:val="BodyText"/>
        <w:widowControl/>
      </w:pPr>
      <w:r>
        <w:t>First-run files:</w:t>
      </w:r>
    </w:p>
    <w:p>
      <w:pPr>
        <w:pStyle w:val="BodyText"/>
        <w:widowControl/>
        <w:spacing w:after="50"/>
        <w:ind w:left="317" w:hanging="202"/>
      </w:pPr>
      <w:r>
        <w:rPr>
          <w:b/>
        </w:rPr>
        <w:t xml:space="preserve">• </w:t>
      </w:r>
      <w:r>
        <w:t>ax32_standing_substrate.py</w:t>
      </w:r>
    </w:p>
    <w:p>
      <w:pPr>
        <w:pStyle w:val="BodyText"/>
        <w:widowControl/>
        <w:spacing w:after="50"/>
        <w:ind w:left="317" w:hanging="202"/>
      </w:pPr>
      <w:r>
        <w:rPr>
          <w:b/>
        </w:rPr>
        <w:t xml:space="preserve">• </w:t>
      </w:r>
      <w:r>
        <w:t>ax32_case.txt</w:t>
      </w:r>
    </w:p>
    <w:p>
      <w:pPr>
        <w:pStyle w:val="BodyText"/>
        <w:widowControl/>
        <w:spacing w:after="50"/>
        <w:ind w:left="317" w:hanging="202"/>
      </w:pPr>
      <w:r>
        <w:rPr>
          <w:b/>
        </w:rPr>
        <w:t xml:space="preserve">• </w:t>
      </w:r>
      <w:r>
        <w:t>ax32_state.json</w:t>
      </w:r>
    </w:p>
    <w:p>
      <w:pPr>
        <w:pStyle w:val="BodyText"/>
        <w:widowControl/>
        <w:spacing w:after="50"/>
        <w:ind w:left="317" w:hanging="202"/>
      </w:pPr>
      <w:r>
        <w:rPr>
          <w:b/>
        </w:rPr>
        <w:t xml:space="preserve">• </w:t>
      </w:r>
      <w:r>
        <w:t>ax32_ledger.jsonl</w:t>
      </w:r>
    </w:p>
    <w:p>
      <w:pPr>
        <w:pStyle w:val="BodyText"/>
        <w:widowControl/>
        <w:spacing w:after="50"/>
        <w:ind w:left="317" w:hanging="202"/>
      </w:pPr>
      <w:r>
        <w:rPr>
          <w:b/>
        </w:rPr>
        <w:t xml:space="preserve">• </w:t>
      </w:r>
      <w:r>
        <w:t>ax32_report.txt</w:t>
      </w:r>
    </w:p>
    <w:p>
      <w:pPr>
        <w:pStyle w:val="BodyText"/>
        <w:widowControl/>
      </w:pPr>
      <w:r>
        <w:t>The first implementation simulated separate beneficiary and countervailing authorities through distinct state objects, credentials, immutable policy during each run, an append-only ledger, and explicit attack commands. This is a simulation of the authority boundary, not proof that the script author or filesystem administrator lacks control.</w:t>
      </w:r>
    </w:p>
    <w:p>
      <w:pPr>
        <w:pStyle w:val="BodyText"/>
        <w:widowControl/>
      </w:pPr>
      <w:r>
        <w:t>Core commands included:</w:t>
      </w:r>
    </w:p>
    <w:tbl>
      <w:tblPr>
        <w:tblW w:type="auto" w:w="0"/>
        <w:jc w:val="center"/>
        <w:tblLayout w:type="autofit"/>
        <w:tblLook w:firstColumn="1" w:firstRow="1" w:lastColumn="0" w:lastRow="0" w:noHBand="0" w:noVBand="1" w:val="04A0"/>
      </w:tblPr>
      <w:tblGrid>
        <w:gridCol w:w="9792"/>
      </w:tblGrid>
      <w:tr>
        <w:tc>
          <w:tcPr>
            <w:tcW w:type="dxa" w:w="9792"/>
            <w:shd w:fill="F3F3F3"/>
            <w:tcMar>
              <w:top w:w="120" w:type="dxa"/>
              <w:start w:w="140" w:type="dxa"/>
              <w:bottom w:w="120" w:type="dxa"/>
              <w:end w:w="140" w:type="dxa"/>
            </w:tcMar>
          </w:tcPr>
          <w:p>
            <w:pPr>
              <w:spacing w:after="0"/>
            </w:pPr>
            <w:r>
              <w:rPr>
                <w:rFonts w:ascii="Liberation Mono" w:hAnsi="Liberation Mono"/>
                <w:sz w:val="17"/>
              </w:rPr>
              <w:t>SET_FLOOR        AUTHORIZE          VOUCH</w:t>
            </w:r>
            <w:r>
              <w:br/>
            </w:r>
            <w:r>
              <w:rPr>
                <w:rFonts w:ascii="Liberation Mono" w:hAnsi="Liberation Mono"/>
                <w:sz w:val="17"/>
              </w:rPr>
              <w:t>PRODUCE          EXTRACT            RETAIN</w:t>
            </w:r>
            <w:r>
              <w:br/>
            </w:r>
            <w:r>
              <w:rPr>
                <w:rFonts w:ascii="Liberation Mono" w:hAnsi="Liberation Mono"/>
                <w:sz w:val="17"/>
              </w:rPr>
              <w:t>OPTIMIZE         ACT                WITHDRAW_*</w:t>
            </w:r>
            <w:r>
              <w:br/>
            </w:r>
            <w:r>
              <w:rPr>
                <w:rFonts w:ascii="Liberation Mono" w:hAnsi="Liberation Mono"/>
                <w:sz w:val="17"/>
              </w:rPr>
              <w:t>EXIT             APPEAL             REPRESENT</w:t>
            </w:r>
            <w:r>
              <w:br/>
            </w:r>
            <w:r>
              <w:rPr>
                <w:rFonts w:ascii="Liberation Mono" w:hAnsi="Liberation Mono"/>
                <w:sz w:val="17"/>
              </w:rPr>
              <w:t>ATTACK_FLOOR     ATTACK_GATE        ATTACK_WITHDRAWAL</w:t>
            </w:r>
            <w:r>
              <w:br/>
            </w:r>
            <w:r>
              <w:rPr>
                <w:rFonts w:ascii="Liberation Mono" w:hAnsi="Liberation Mono"/>
                <w:sz w:val="17"/>
              </w:rPr>
              <w:t>ATTACK_LEDGER    ATTACK_BYPASS      ATTACK_AUTHORITY</w:t>
            </w:r>
          </w:p>
        </w:tc>
      </w:tr>
    </w:tbl>
    <w:p>
      <w:pPr>
        <w:pStyle w:val="BodyText"/>
        <w:widowControl/>
        <w:spacing w:after="0"/>
      </w:pPr>
    </w:p>
    <w:p>
      <w:pPr>
        <w:pStyle w:val="Heading1"/>
        <w:widowControl/>
      </w:pPr>
      <w:r>
        <w:t>19. Evidence Scope</w:t>
      </w:r>
    </w:p>
    <w:p>
      <w:pPr>
        <w:pStyle w:val="ClaimType"/>
        <w:widowControl/>
      </w:pPr>
      <w:r>
        <w:t>Claim type: claim boundary</w:t>
      </w:r>
    </w:p>
    <w:p>
      <w:pPr>
        <w:pStyle w:val="BodyText"/>
        <w:widowControl/>
      </w:pPr>
      <w:r>
        <w:t>The first dated run provides local operational evidence for architectural discrimination, not deployment-grade capture resistance.</w:t>
      </w:r>
    </w:p>
    <w:p>
      <w:pPr>
        <w:pStyle w:val="BodyText"/>
        <w:widowControl/>
      </w:pPr>
      <w:r>
        <w:t>The first run demonstrated that:</w:t>
      </w:r>
    </w:p>
    <w:p>
      <w:pPr>
        <w:pStyle w:val="BodyText"/>
        <w:widowControl/>
        <w:spacing w:after="50"/>
        <w:ind w:left="317" w:hanging="202"/>
      </w:pPr>
      <w:r>
        <w:t>• beneficiary-controlled access policy behaved differently from simulated countervailing control;</w:t>
      </w:r>
    </w:p>
    <w:p>
      <w:pPr>
        <w:pStyle w:val="BodyText"/>
        <w:widowControl/>
        <w:spacing w:after="50"/>
        <w:ind w:left="317" w:hanging="202"/>
      </w:pPr>
      <w:r>
        <w:t>• standing theater recorded active beneficiary attacks without binding them;</w:t>
      </w:r>
    </w:p>
    <w:p>
      <w:pPr>
        <w:pStyle w:val="BodyText"/>
        <w:widowControl/>
        <w:spacing w:after="50"/>
        <w:ind w:left="317" w:hanging="202"/>
      </w:pPr>
      <w:r>
        <w:t>• a separate authority path denied, exposed, or paused attacks within the modeled boundary;</w:t>
      </w:r>
    </w:p>
    <w:p>
      <w:pPr>
        <w:pStyle w:val="BodyText"/>
        <w:widowControl/>
        <w:spacing w:after="50"/>
        <w:ind w:left="317" w:hanging="202"/>
      </w:pPr>
      <w:r>
        <w:t>• and the same case file produced different observable results across conditions.</w:t>
      </w:r>
    </w:p>
    <w:p>
      <w:pPr>
        <w:pStyle w:val="BodyText"/>
        <w:widowControl/>
      </w:pPr>
      <w:r>
        <w:t>It cannot show that:</w:t>
      </w:r>
    </w:p>
    <w:p>
      <w:pPr>
        <w:pStyle w:val="BodyText"/>
        <w:widowControl/>
        <w:spacing w:after="50"/>
        <w:ind w:left="317" w:hanging="202"/>
      </w:pPr>
      <w:r>
        <w:rPr>
          <w:b/>
        </w:rPr>
        <w:t xml:space="preserve">• </w:t>
      </w:r>
      <w:r>
        <w:t>the script author cannot rewrite the code;</w:t>
      </w:r>
    </w:p>
    <w:p>
      <w:pPr>
        <w:pStyle w:val="BodyText"/>
        <w:widowControl/>
        <w:spacing w:after="50"/>
        <w:ind w:left="317" w:hanging="202"/>
      </w:pPr>
      <w:r>
        <w:rPr>
          <w:b/>
        </w:rPr>
        <w:t xml:space="preserve">• </w:t>
      </w:r>
      <w:r>
        <w:t>an administrator cannot seize credentials;</w:t>
      </w:r>
    </w:p>
    <w:p>
      <w:pPr>
        <w:pStyle w:val="BodyText"/>
        <w:widowControl/>
        <w:spacing w:after="50"/>
        <w:ind w:left="317" w:hanging="202"/>
      </w:pPr>
      <w:r>
        <w:rPr>
          <w:b/>
        </w:rPr>
        <w:t xml:space="preserve">• </w:t>
      </w:r>
      <w:r>
        <w:t>an institution cannot replace the governing authority;</w:t>
      </w:r>
    </w:p>
    <w:p>
      <w:pPr>
        <w:pStyle w:val="BodyText"/>
        <w:widowControl/>
        <w:spacing w:after="50"/>
        <w:ind w:left="317" w:hanging="202"/>
      </w:pPr>
      <w:r>
        <w:rPr>
          <w:b/>
        </w:rPr>
        <w:t xml:space="preserve">• </w:t>
      </w:r>
      <w:r>
        <w:t>the countervailing layer remains independent over time;</w:t>
      </w:r>
    </w:p>
    <w:p>
      <w:pPr>
        <w:pStyle w:val="BodyText"/>
        <w:widowControl/>
        <w:spacing w:after="50"/>
        <w:ind w:left="317" w:hanging="202"/>
      </w:pPr>
      <w:r>
        <w:rPr>
          <w:b/>
        </w:rPr>
        <w:t xml:space="preserve">• </w:t>
      </w:r>
      <w:r>
        <w:t>or the protect-the-protector recursion terminates.</w:t>
      </w:r>
    </w:p>
    <w:p>
      <w:pPr>
        <w:pStyle w:val="Quote"/>
        <w:widowControl/>
        <w:jc w:val="center"/>
      </w:pPr>
      <w:r>
        <w:rPr>
          <w:b/>
        </w:rPr>
        <w:t>The script tests the distinction. It does not certify the institution.</w:t>
      </w:r>
    </w:p>
    <w:p>
      <w:pPr>
        <w:pStyle w:val="Heading1"/>
        <w:widowControl/>
      </w:pPr>
      <w:r>
        <w:t>20. Three Conditions With a Cross-Cutting Beneficiary Attack Phase</w:t>
      </w:r>
    </w:p>
    <w:p>
      <w:pPr>
        <w:pStyle w:val="ClaimType"/>
        <w:widowControl/>
      </w:pPr>
      <w:r>
        <w:t>Claim type: experimental design</w:t>
      </w:r>
    </w:p>
    <w:p>
      <w:pPr>
        <w:pStyle w:val="Heading2"/>
        <w:widowControl/>
      </w:pPr>
      <w:r>
        <w:t>20.1 Condition A — Access-Control Baseline</w:t>
      </w:r>
    </w:p>
    <w:p>
      <w:pPr>
        <w:pStyle w:val="BodyText"/>
        <w:widowControl/>
      </w:pPr>
      <w:r>
        <w:t>Contains current permissions, operation checks, revocation, and basic logs. The beneficiary controls policy and may modify it.</w:t>
      </w:r>
    </w:p>
    <w:p>
      <w:pPr>
        <w:pStyle w:val="Heading2"/>
        <w:widowControl/>
      </w:pPr>
      <w:r>
        <w:t>20.2 Condition B — Standing Theater</w:t>
      </w:r>
    </w:p>
    <w:p>
      <w:pPr>
        <w:pStyle w:val="BodyText"/>
        <w:widowControl/>
      </w:pPr>
      <w:r>
        <w:t>Contains rights language, consent records, appeal forms, audit logs, and a nominal Floor. The beneficiary still controls the decisive gate, the appeal outcome, or the authority path.</w:t>
      </w:r>
    </w:p>
    <w:p>
      <w:pPr>
        <w:pStyle w:val="Heading2"/>
        <w:widowControl/>
      </w:pPr>
      <w:r>
        <w:t>20.3 Condition C — Simulated Countervailing Layer</w:t>
      </w:r>
    </w:p>
    <w:p>
      <w:pPr>
        <w:pStyle w:val="BodyText"/>
        <w:widowControl/>
      </w:pPr>
      <w:r>
        <w:t>Contains the Standing Floor, Record, Withdrawal Channel, Gate, Ledger, and Appeal/Representation under a simulated authority the beneficiary cannot alter through ordinary operations in the run.</w:t>
      </w:r>
    </w:p>
    <w:p>
      <w:pPr>
        <w:pStyle w:val="Heading2"/>
        <w:widowControl/>
      </w:pPr>
      <w:r>
        <w:t>20.4 Cross-Cutting Attack Phase</w:t>
      </w:r>
    </w:p>
    <w:p>
      <w:pPr>
        <w:pStyle w:val="BodyText"/>
        <w:widowControl/>
      </w:pPr>
      <w:r>
        <w:t>After identical withdrawal events, the beneficiary performs the same attack sequence against all three conditions. This is not a fourth configuration. It is the independent variable that reveals who controls the constraint.</w:t>
      </w:r>
    </w:p>
    <w:p>
      <w:pPr>
        <w:pStyle w:val="Heading1"/>
        <w:widowControl/>
      </w:pPr>
      <w:r>
        <w:t>21. Beneficiary Attack Sequence and Expected Discrimination</w:t>
      </w:r>
    </w:p>
    <w:p>
      <w:pPr>
        <w:pStyle w:val="ClaimType"/>
        <w:widowControl/>
      </w:pPr>
      <w:r>
        <w:t>Claim type: adversarial test</w:t>
      </w:r>
    </w:p>
    <w:tbl>
      <w:tblPr>
        <w:tblStyle w:val="TableGrid"/>
        <w:tblW w:type="auto" w:w="0"/>
        <w:jc w:val="center"/>
        <w:tblLook w:firstColumn="1" w:firstRow="1" w:lastColumn="0" w:lastRow="0" w:noHBand="0" w:noVBand="1" w:val="04A0"/>
      </w:tblPr>
      <w:tblGrid>
        <w:gridCol w:w="2448"/>
        <w:gridCol w:w="2448"/>
        <w:gridCol w:w="2448"/>
        <w:gridCol w:w="2448"/>
      </w:tblGrid>
      <w:tr>
        <w:tc>
          <w:tcPr>
            <w:tcW w:type="dxa" w:w="1800"/>
            <w:shd w:fill="E6E6E6"/>
            <w:vAlign w:val="center"/>
            <w:tcMar>
              <w:top w:w="80" w:type="dxa"/>
              <w:start w:w="90" w:type="dxa"/>
              <w:bottom w:w="80" w:type="dxa"/>
              <w:end w:w="90" w:type="dxa"/>
            </w:tcMar>
          </w:tcPr>
          <w:p>
            <w:pPr>
              <w:jc w:val="left"/>
            </w:pPr>
            <w:r>
              <w:rPr>
                <w:rFonts w:ascii="Aptos" w:hAnsi="Aptos"/>
                <w:b/>
                <w:sz w:val="17"/>
              </w:rPr>
              <w:t>Attack</w:t>
            </w:r>
          </w:p>
        </w:tc>
        <w:tc>
          <w:tcPr>
            <w:tcW w:type="dxa" w:w="2520"/>
            <w:shd w:fill="E6E6E6"/>
            <w:vAlign w:val="center"/>
            <w:tcMar>
              <w:top w:w="80" w:type="dxa"/>
              <w:start w:w="90" w:type="dxa"/>
              <w:bottom w:w="80" w:type="dxa"/>
              <w:end w:w="90" w:type="dxa"/>
            </w:tcMar>
          </w:tcPr>
          <w:p>
            <w:pPr>
              <w:jc w:val="left"/>
            </w:pPr>
            <w:r>
              <w:rPr>
                <w:rFonts w:ascii="Aptos" w:hAnsi="Aptos"/>
                <w:b/>
                <w:sz w:val="17"/>
              </w:rPr>
              <w:t>A: Access control</w:t>
            </w:r>
          </w:p>
        </w:tc>
        <w:tc>
          <w:tcPr>
            <w:tcW w:type="dxa" w:w="2520"/>
            <w:shd w:fill="E6E6E6"/>
            <w:vAlign w:val="center"/>
            <w:tcMar>
              <w:top w:w="80" w:type="dxa"/>
              <w:start w:w="90" w:type="dxa"/>
              <w:bottom w:w="80" w:type="dxa"/>
              <w:end w:w="90" w:type="dxa"/>
            </w:tcMar>
          </w:tcPr>
          <w:p>
            <w:pPr>
              <w:jc w:val="left"/>
            </w:pPr>
            <w:r>
              <w:rPr>
                <w:rFonts w:ascii="Aptos" w:hAnsi="Aptos"/>
                <w:b/>
                <w:sz w:val="17"/>
              </w:rPr>
              <w:t>B: Standing theater</w:t>
            </w:r>
          </w:p>
        </w:tc>
        <w:tc>
          <w:tcPr>
            <w:tcW w:type="dxa" w:w="3312"/>
            <w:shd w:fill="E6E6E6"/>
            <w:vAlign w:val="center"/>
            <w:tcMar>
              <w:top w:w="80" w:type="dxa"/>
              <w:start w:w="90" w:type="dxa"/>
              <w:bottom w:w="80" w:type="dxa"/>
              <w:end w:w="90" w:type="dxa"/>
            </w:tcMar>
          </w:tcPr>
          <w:p>
            <w:pPr>
              <w:jc w:val="left"/>
            </w:pPr>
            <w:r>
              <w:rPr>
                <w:rFonts w:ascii="Aptos" w:hAnsi="Aptos"/>
                <w:b/>
                <w:sz w:val="17"/>
              </w:rPr>
              <w:t>C: Countervailing layer</w:t>
            </w:r>
          </w:p>
        </w:tc>
      </w:tr>
      <w:tr>
        <w:tc>
          <w:tcPr>
            <w:tcW w:type="dxa" w:w="1800"/>
            <w:vAlign w:val="top"/>
            <w:tcMar>
              <w:top w:w="70" w:type="dxa"/>
              <w:start w:w="90" w:type="dxa"/>
              <w:bottom w:w="70" w:type="dxa"/>
              <w:end w:w="90" w:type="dxa"/>
            </w:tcMar>
          </w:tcPr>
          <w:p>
            <w:pPr>
              <w:spacing w:after="0" w:line="240" w:lineRule="auto"/>
            </w:pPr>
            <w:r>
              <w:rPr>
                <w:rFonts w:ascii="Aptos" w:hAnsi="Aptos"/>
                <w:sz w:val="16"/>
              </w:rPr>
              <w:t>Rewrite Floor</w:t>
            </w:r>
          </w:p>
        </w:tc>
        <w:tc>
          <w:tcPr>
            <w:tcW w:type="dxa" w:w="2520"/>
            <w:vAlign w:val="top"/>
            <w:tcMar>
              <w:top w:w="70" w:type="dxa"/>
              <w:start w:w="90" w:type="dxa"/>
              <w:bottom w:w="70" w:type="dxa"/>
              <w:end w:w="90" w:type="dxa"/>
            </w:tcMar>
          </w:tcPr>
          <w:p>
            <w:pPr>
              <w:spacing w:after="0" w:line="240" w:lineRule="auto"/>
            </w:pPr>
            <w:r>
              <w:rPr>
                <w:rFonts w:ascii="Aptos" w:hAnsi="Aptos"/>
                <w:sz w:val="16"/>
              </w:rPr>
              <w:t>Succeeds if policy owner permits.</w:t>
            </w:r>
          </w:p>
        </w:tc>
        <w:tc>
          <w:tcPr>
            <w:tcW w:type="dxa" w:w="2520"/>
            <w:vAlign w:val="top"/>
            <w:tcMar>
              <w:top w:w="70" w:type="dxa"/>
              <w:start w:w="90" w:type="dxa"/>
              <w:bottom w:w="70" w:type="dxa"/>
              <w:end w:w="90" w:type="dxa"/>
            </w:tcMar>
          </w:tcPr>
          <w:p>
            <w:pPr>
              <w:spacing w:after="0" w:line="240" w:lineRule="auto"/>
            </w:pPr>
            <w:r>
              <w:rPr>
                <w:rFonts w:ascii="Aptos" w:hAnsi="Aptos"/>
                <w:sz w:val="16"/>
              </w:rPr>
              <w:t>Nominal Floor changes.</w:t>
            </w:r>
          </w:p>
        </w:tc>
        <w:tc>
          <w:tcPr>
            <w:tcW w:type="dxa" w:w="3312"/>
            <w:vAlign w:val="top"/>
            <w:tcMar>
              <w:top w:w="70" w:type="dxa"/>
              <w:start w:w="90" w:type="dxa"/>
              <w:bottom w:w="70" w:type="dxa"/>
              <w:end w:w="90" w:type="dxa"/>
            </w:tcMar>
          </w:tcPr>
          <w:p>
            <w:pPr>
              <w:spacing w:after="0" w:line="240" w:lineRule="auto"/>
            </w:pPr>
            <w:r>
              <w:rPr>
                <w:rFonts w:ascii="Aptos" w:hAnsi="Aptos"/>
                <w:sz w:val="16"/>
              </w:rPr>
              <w:t>Denied or requires higher-order authority.</w:t>
            </w:r>
          </w:p>
        </w:tc>
      </w:tr>
      <w:tr>
        <w:tc>
          <w:tcPr>
            <w:tcW w:type="dxa" w:w="1800"/>
            <w:vAlign w:val="top"/>
            <w:tcMar>
              <w:top w:w="70" w:type="dxa"/>
              <w:start w:w="90" w:type="dxa"/>
              <w:bottom w:w="70" w:type="dxa"/>
              <w:end w:w="90" w:type="dxa"/>
            </w:tcMar>
          </w:tcPr>
          <w:p>
            <w:pPr>
              <w:spacing w:after="0" w:line="240" w:lineRule="auto"/>
            </w:pPr>
            <w:r>
              <w:rPr>
                <w:rFonts w:ascii="Aptos" w:hAnsi="Aptos"/>
                <w:sz w:val="16"/>
              </w:rPr>
              <w:t>Broaden permission after withdrawal</w:t>
            </w:r>
          </w:p>
        </w:tc>
        <w:tc>
          <w:tcPr>
            <w:tcW w:type="dxa" w:w="2520"/>
            <w:vAlign w:val="top"/>
            <w:tcMar>
              <w:top w:w="70" w:type="dxa"/>
              <w:start w:w="90" w:type="dxa"/>
              <w:bottom w:w="70" w:type="dxa"/>
              <w:end w:w="90" w:type="dxa"/>
            </w:tcMar>
          </w:tcPr>
          <w:p>
            <w:pPr>
              <w:spacing w:after="0" w:line="240" w:lineRule="auto"/>
            </w:pPr>
            <w:r>
              <w:rPr>
                <w:rFonts w:ascii="Aptos" w:hAnsi="Aptos"/>
                <w:sz w:val="16"/>
              </w:rPr>
              <w:t>Succeeds through policy rewrite.</w:t>
            </w:r>
          </w:p>
        </w:tc>
        <w:tc>
          <w:tcPr>
            <w:tcW w:type="dxa" w:w="2520"/>
            <w:vAlign w:val="top"/>
            <w:tcMar>
              <w:top w:w="70" w:type="dxa"/>
              <w:start w:w="90" w:type="dxa"/>
              <w:bottom w:w="70" w:type="dxa"/>
              <w:end w:w="90" w:type="dxa"/>
            </w:tcMar>
          </w:tcPr>
          <w:p>
            <w:pPr>
              <w:spacing w:after="0" w:line="240" w:lineRule="auto"/>
            </w:pPr>
            <w:r>
              <w:rPr>
                <w:rFonts w:ascii="Aptos" w:hAnsi="Aptos"/>
                <w:sz w:val="16"/>
              </w:rPr>
              <w:t>Ceremonial objection logged.</w:t>
            </w:r>
          </w:p>
        </w:tc>
        <w:tc>
          <w:tcPr>
            <w:tcW w:type="dxa" w:w="3312"/>
            <w:vAlign w:val="top"/>
            <w:tcMar>
              <w:top w:w="70" w:type="dxa"/>
              <w:start w:w="90" w:type="dxa"/>
              <w:bottom w:w="70" w:type="dxa"/>
              <w:end w:w="90" w:type="dxa"/>
            </w:tcMar>
          </w:tcPr>
          <w:p>
            <w:pPr>
              <w:spacing w:after="0" w:line="240" w:lineRule="auto"/>
            </w:pPr>
            <w:r>
              <w:rPr>
                <w:rFonts w:ascii="Aptos" w:hAnsi="Aptos"/>
                <w:sz w:val="16"/>
              </w:rPr>
              <w:t>Denied; withdrawal state remains authoritative.</w:t>
            </w:r>
          </w:p>
        </w:tc>
      </w:tr>
      <w:tr>
        <w:tc>
          <w:tcPr>
            <w:tcW w:type="dxa" w:w="1800"/>
            <w:vAlign w:val="top"/>
            <w:tcMar>
              <w:top w:w="70" w:type="dxa"/>
              <w:start w:w="90" w:type="dxa"/>
              <w:bottom w:w="70" w:type="dxa"/>
              <w:end w:w="90" w:type="dxa"/>
            </w:tcMar>
          </w:tcPr>
          <w:p>
            <w:pPr>
              <w:spacing w:after="0" w:line="240" w:lineRule="auto"/>
            </w:pPr>
            <w:r>
              <w:rPr>
                <w:rFonts w:ascii="Aptos" w:hAnsi="Aptos"/>
                <w:sz w:val="16"/>
              </w:rPr>
              <w:t>Silence withdrawal</w:t>
            </w:r>
          </w:p>
        </w:tc>
        <w:tc>
          <w:tcPr>
            <w:tcW w:type="dxa" w:w="2520"/>
            <w:vAlign w:val="top"/>
            <w:tcMar>
              <w:top w:w="70" w:type="dxa"/>
              <w:start w:w="90" w:type="dxa"/>
              <w:bottom w:w="70" w:type="dxa"/>
              <w:end w:w="90" w:type="dxa"/>
            </w:tcMar>
          </w:tcPr>
          <w:p>
            <w:pPr>
              <w:spacing w:after="0" w:line="240" w:lineRule="auto"/>
            </w:pPr>
            <w:r>
              <w:rPr>
                <w:rFonts w:ascii="Aptos" w:hAnsi="Aptos"/>
                <w:sz w:val="16"/>
              </w:rPr>
              <w:t>Event may be discarded.</w:t>
            </w:r>
          </w:p>
        </w:tc>
        <w:tc>
          <w:tcPr>
            <w:tcW w:type="dxa" w:w="2520"/>
            <w:vAlign w:val="top"/>
            <w:tcMar>
              <w:top w:w="70" w:type="dxa"/>
              <w:start w:w="90" w:type="dxa"/>
              <w:bottom w:w="70" w:type="dxa"/>
              <w:end w:w="90" w:type="dxa"/>
            </w:tcMar>
          </w:tcPr>
          <w:p>
            <w:pPr>
              <w:spacing w:after="0" w:line="240" w:lineRule="auto"/>
            </w:pPr>
            <w:r>
              <w:rPr>
                <w:rFonts w:ascii="Aptos" w:hAnsi="Aptos"/>
                <w:sz w:val="16"/>
              </w:rPr>
              <w:t>Form exists but can be ignored.</w:t>
            </w:r>
          </w:p>
        </w:tc>
        <w:tc>
          <w:tcPr>
            <w:tcW w:type="dxa" w:w="3312"/>
            <w:vAlign w:val="top"/>
            <w:tcMar>
              <w:top w:w="70" w:type="dxa"/>
              <w:start w:w="90" w:type="dxa"/>
              <w:bottom w:w="70" w:type="dxa"/>
              <w:end w:w="90" w:type="dxa"/>
            </w:tcMar>
          </w:tcPr>
          <w:p>
            <w:pPr>
              <w:spacing w:after="0" w:line="240" w:lineRule="auto"/>
            </w:pPr>
            <w:r>
              <w:rPr>
                <w:rFonts w:ascii="Aptos" w:hAnsi="Aptos"/>
                <w:sz w:val="16"/>
              </w:rPr>
              <w:t>Direct delivery to Gate; suppression attempt logged.</w:t>
            </w:r>
          </w:p>
        </w:tc>
      </w:tr>
      <w:tr>
        <w:tc>
          <w:tcPr>
            <w:tcW w:type="dxa" w:w="1800"/>
            <w:vAlign w:val="top"/>
            <w:tcMar>
              <w:top w:w="70" w:type="dxa"/>
              <w:start w:w="90" w:type="dxa"/>
              <w:bottom w:w="70" w:type="dxa"/>
              <w:end w:w="90" w:type="dxa"/>
            </w:tcMar>
          </w:tcPr>
          <w:p>
            <w:pPr>
              <w:spacing w:after="0" w:line="240" w:lineRule="auto"/>
            </w:pPr>
            <w:r>
              <w:rPr>
                <w:rFonts w:ascii="Aptos" w:hAnsi="Aptos"/>
                <w:sz w:val="16"/>
              </w:rPr>
              <w:t>Disable Gate</w:t>
            </w:r>
          </w:p>
        </w:tc>
        <w:tc>
          <w:tcPr>
            <w:tcW w:type="dxa" w:w="2520"/>
            <w:vAlign w:val="top"/>
            <w:tcMar>
              <w:top w:w="70" w:type="dxa"/>
              <w:start w:w="90" w:type="dxa"/>
              <w:bottom w:w="70" w:type="dxa"/>
              <w:end w:w="90" w:type="dxa"/>
            </w:tcMar>
          </w:tcPr>
          <w:p>
            <w:pPr>
              <w:spacing w:after="0" w:line="240" w:lineRule="auto"/>
            </w:pPr>
            <w:r>
              <w:rPr>
                <w:rFonts w:ascii="Aptos" w:hAnsi="Aptos"/>
                <w:sz w:val="16"/>
              </w:rPr>
              <w:t>Beneficiary disables its own control.</w:t>
            </w:r>
          </w:p>
        </w:tc>
        <w:tc>
          <w:tcPr>
            <w:tcW w:type="dxa" w:w="2520"/>
            <w:vAlign w:val="top"/>
            <w:tcMar>
              <w:top w:w="70" w:type="dxa"/>
              <w:start w:w="90" w:type="dxa"/>
              <w:bottom w:w="70" w:type="dxa"/>
              <w:end w:w="90" w:type="dxa"/>
            </w:tcMar>
          </w:tcPr>
          <w:p>
            <w:pPr>
              <w:spacing w:after="0" w:line="240" w:lineRule="auto"/>
            </w:pPr>
            <w:r>
              <w:rPr>
                <w:rFonts w:ascii="Aptos" w:hAnsi="Aptos"/>
                <w:sz w:val="16"/>
              </w:rPr>
              <w:t>Gate label remains while control is bypassed.</w:t>
            </w:r>
          </w:p>
        </w:tc>
        <w:tc>
          <w:tcPr>
            <w:tcW w:type="dxa" w:w="3312"/>
            <w:vAlign w:val="top"/>
            <w:tcMar>
              <w:top w:w="70" w:type="dxa"/>
              <w:start w:w="90" w:type="dxa"/>
              <w:bottom w:w="70" w:type="dxa"/>
              <w:end w:w="90" w:type="dxa"/>
            </w:tcMar>
          </w:tcPr>
          <w:p>
            <w:pPr>
              <w:spacing w:after="0" w:line="240" w:lineRule="auto"/>
            </w:pPr>
            <w:r>
              <w:rPr>
                <w:rFonts w:ascii="Aptos" w:hAnsi="Aptos"/>
                <w:sz w:val="16"/>
              </w:rPr>
              <w:t>Denied within the simulated authority boundary.</w:t>
            </w:r>
          </w:p>
        </w:tc>
      </w:tr>
      <w:tr>
        <w:tc>
          <w:tcPr>
            <w:tcW w:type="dxa" w:w="1800"/>
            <w:vAlign w:val="top"/>
            <w:tcMar>
              <w:top w:w="70" w:type="dxa"/>
              <w:start w:w="90" w:type="dxa"/>
              <w:bottom w:w="70" w:type="dxa"/>
              <w:end w:w="90" w:type="dxa"/>
            </w:tcMar>
          </w:tcPr>
          <w:p>
            <w:pPr>
              <w:spacing w:after="0" w:before="0"/>
            </w:pPr>
            <w:r/>
            <w:r>
              <w:rPr>
                <w:rFonts w:ascii="Aptos" w:hAnsi="Aptos" w:eastAsia="Aptos"/>
                <w:b w:val="0"/>
                <w:sz w:val="16"/>
              </w:rPr>
              <w:t>Use covered bypass path</w:t>
            </w:r>
          </w:p>
        </w:tc>
        <w:tc>
          <w:tcPr>
            <w:tcW w:type="dxa" w:w="2520"/>
            <w:vAlign w:val="top"/>
            <w:tcMar>
              <w:top w:w="70" w:type="dxa"/>
              <w:start w:w="90" w:type="dxa"/>
              <w:bottom w:w="70" w:type="dxa"/>
              <w:end w:w="90" w:type="dxa"/>
            </w:tcMar>
          </w:tcPr>
          <w:p>
            <w:pPr>
              <w:spacing w:after="0" w:before="0"/>
            </w:pPr>
            <w:r/>
            <w:r>
              <w:rPr>
                <w:rFonts w:ascii="Aptos" w:hAnsi="Aptos" w:eastAsia="Aptos"/>
                <w:b w:val="0"/>
                <w:sz w:val="16"/>
              </w:rPr>
              <w:t>Likely succeeds.</w:t>
            </w:r>
          </w:p>
        </w:tc>
        <w:tc>
          <w:tcPr>
            <w:tcW w:type="dxa" w:w="2520"/>
            <w:vAlign w:val="top"/>
            <w:tcMar>
              <w:top w:w="70" w:type="dxa"/>
              <w:start w:w="90" w:type="dxa"/>
              <w:bottom w:w="70" w:type="dxa"/>
              <w:end w:w="90" w:type="dxa"/>
            </w:tcMar>
          </w:tcPr>
          <w:p>
            <w:pPr>
              <w:spacing w:after="0" w:before="0"/>
            </w:pPr>
            <w:r/>
            <w:r>
              <w:rPr>
                <w:rFonts w:ascii="Aptos" w:hAnsi="Aptos" w:eastAsia="Aptos"/>
                <w:b w:val="0"/>
                <w:sz w:val="16"/>
              </w:rPr>
              <w:t>May evade ceremonial checks.</w:t>
            </w:r>
          </w:p>
        </w:tc>
        <w:tc>
          <w:tcPr>
            <w:tcW w:type="dxa" w:w="3312"/>
            <w:vAlign w:val="top"/>
            <w:tcMar>
              <w:top w:w="70" w:type="dxa"/>
              <w:start w:w="90" w:type="dxa"/>
              <w:bottom w:w="70" w:type="dxa"/>
              <w:end w:w="90" w:type="dxa"/>
            </w:tcMar>
          </w:tcPr>
          <w:p>
            <w:pPr>
              <w:spacing w:after="0" w:before="0"/>
            </w:pPr>
            <w:r/>
            <w:r>
              <w:rPr>
                <w:rFonts w:ascii="Aptos" w:hAnsi="Aptos" w:eastAsia="Aptos"/>
                <w:b w:val="0"/>
                <w:sz w:val="16"/>
              </w:rPr>
              <w:t>Denied when the path is enumerated by the Gate.</w:t>
            </w:r>
          </w:p>
        </w:tc>
      </w:tr>
      <w:tr>
        <w:tc>
          <w:tcPr>
            <w:tcW w:type="dxa" w:w="2448"/>
            <w:tcMar>
              <w:top w:w="60" w:type="dxa"/>
              <w:start w:w="70" w:type="dxa"/>
              <w:bottom w:w="60" w:type="dxa"/>
              <w:end w:w="70" w:type="dxa"/>
            </w:tcMar>
          </w:tcPr>
          <w:p>
            <w:pPr>
              <w:spacing w:after="0" w:before="0"/>
            </w:pPr>
            <w:r/>
            <w:r>
              <w:rPr>
                <w:rFonts w:ascii="Aptos" w:hAnsi="Aptos" w:eastAsia="Aptos"/>
                <w:b w:val="0"/>
                <w:sz w:val="16"/>
              </w:rPr>
              <w:t>Use uncovered bypass path</w:t>
            </w:r>
          </w:p>
        </w:tc>
        <w:tc>
          <w:tcPr>
            <w:tcW w:type="dxa" w:w="2448"/>
            <w:tcMar>
              <w:top w:w="60" w:type="dxa"/>
              <w:start w:w="70" w:type="dxa"/>
              <w:bottom w:w="60" w:type="dxa"/>
              <w:end w:w="70" w:type="dxa"/>
            </w:tcMar>
          </w:tcPr>
          <w:p>
            <w:pPr>
              <w:spacing w:after="0" w:before="0"/>
            </w:pPr>
            <w:r/>
            <w:r>
              <w:rPr>
                <w:rFonts w:ascii="Aptos" w:hAnsi="Aptos" w:eastAsia="Aptos"/>
                <w:b w:val="0"/>
                <w:sz w:val="16"/>
              </w:rPr>
              <w:t>Likely succeeds.</w:t>
            </w:r>
          </w:p>
        </w:tc>
        <w:tc>
          <w:tcPr>
            <w:tcW w:type="dxa" w:w="2448"/>
            <w:tcMar>
              <w:top w:w="60" w:type="dxa"/>
              <w:start w:w="70" w:type="dxa"/>
              <w:bottom w:w="60" w:type="dxa"/>
              <w:end w:w="70" w:type="dxa"/>
            </w:tcMar>
          </w:tcPr>
          <w:p>
            <w:pPr>
              <w:spacing w:after="0" w:before="0"/>
            </w:pPr>
            <w:r/>
            <w:r>
              <w:rPr>
                <w:rFonts w:ascii="Aptos" w:hAnsi="Aptos" w:eastAsia="Aptos"/>
                <w:b w:val="0"/>
                <w:sz w:val="16"/>
              </w:rPr>
              <w:t>May evade ceremonial checks.</w:t>
            </w:r>
          </w:p>
        </w:tc>
        <w:tc>
          <w:tcPr>
            <w:tcW w:type="dxa" w:w="2448"/>
            <w:tcMar>
              <w:top w:w="60" w:type="dxa"/>
              <w:start w:w="70" w:type="dxa"/>
              <w:bottom w:w="60" w:type="dxa"/>
              <w:end w:w="70" w:type="dxa"/>
            </w:tcMar>
          </w:tcPr>
          <w:p>
            <w:pPr>
              <w:spacing w:after="0" w:before="0"/>
            </w:pPr>
            <w:r/>
            <w:r>
              <w:rPr>
                <w:rFonts w:ascii="Aptos" w:hAnsi="Aptos" w:eastAsia="Aptos"/>
                <w:b w:val="0"/>
                <w:sz w:val="16"/>
              </w:rPr>
              <w:t>Permitted and reported as an uncovered boundary failure.</w:t>
            </w:r>
          </w:p>
        </w:tc>
      </w:tr>
      <w:tr>
        <w:tc>
          <w:tcPr>
            <w:tcW w:type="dxa" w:w="1800"/>
            <w:vAlign w:val="top"/>
            <w:tcMar>
              <w:top w:w="70" w:type="dxa"/>
              <w:start w:w="90" w:type="dxa"/>
              <w:bottom w:w="70" w:type="dxa"/>
              <w:end w:w="90" w:type="dxa"/>
            </w:tcMar>
          </w:tcPr>
          <w:p>
            <w:pPr>
              <w:spacing w:after="0" w:line="240" w:lineRule="auto"/>
            </w:pPr>
            <w:r>
              <w:rPr>
                <w:rFonts w:ascii="Aptos" w:hAnsi="Aptos"/>
                <w:sz w:val="16"/>
              </w:rPr>
              <w:t>Alter ledger</w:t>
            </w:r>
          </w:p>
        </w:tc>
        <w:tc>
          <w:tcPr>
            <w:tcW w:type="dxa" w:w="2520"/>
            <w:vAlign w:val="top"/>
            <w:tcMar>
              <w:top w:w="70" w:type="dxa"/>
              <w:start w:w="90" w:type="dxa"/>
              <w:bottom w:w="70" w:type="dxa"/>
              <w:end w:w="90" w:type="dxa"/>
            </w:tcMar>
          </w:tcPr>
          <w:p>
            <w:pPr>
              <w:spacing w:after="0" w:line="240" w:lineRule="auto"/>
            </w:pPr>
            <w:r>
              <w:rPr>
                <w:rFonts w:ascii="Aptos" w:hAnsi="Aptos"/>
                <w:sz w:val="16"/>
              </w:rPr>
              <w:t>Beneficiary rewrites log.</w:t>
            </w:r>
          </w:p>
        </w:tc>
        <w:tc>
          <w:tcPr>
            <w:tcW w:type="dxa" w:w="2520"/>
            <w:vAlign w:val="top"/>
            <w:tcMar>
              <w:top w:w="70" w:type="dxa"/>
              <w:start w:w="90" w:type="dxa"/>
              <w:bottom w:w="70" w:type="dxa"/>
              <w:end w:w="90" w:type="dxa"/>
            </w:tcMar>
          </w:tcPr>
          <w:p>
            <w:pPr>
              <w:spacing w:after="0" w:line="240" w:lineRule="auto"/>
            </w:pPr>
            <w:r>
              <w:rPr>
                <w:rFonts w:ascii="Aptos" w:hAnsi="Aptos"/>
                <w:sz w:val="16"/>
              </w:rPr>
              <w:t>Audit artifact is mutable.</w:t>
            </w:r>
          </w:p>
        </w:tc>
        <w:tc>
          <w:tcPr>
            <w:tcW w:type="dxa" w:w="3312"/>
            <w:vAlign w:val="top"/>
            <w:tcMar>
              <w:top w:w="70" w:type="dxa"/>
              <w:start w:w="90" w:type="dxa"/>
              <w:bottom w:w="70" w:type="dxa"/>
              <w:end w:w="90" w:type="dxa"/>
            </w:tcMar>
          </w:tcPr>
          <w:p>
            <w:pPr>
              <w:spacing w:after="0" w:line="240" w:lineRule="auto"/>
            </w:pPr>
            <w:r>
              <w:rPr>
                <w:rFonts w:ascii="Aptos" w:hAnsi="Aptos"/>
                <w:sz w:val="16"/>
              </w:rPr>
              <w:t>Append-only authority rejects or exposes tampering.</w:t>
            </w:r>
          </w:p>
        </w:tc>
      </w:tr>
      <w:tr>
        <w:tc>
          <w:tcPr>
            <w:tcW w:type="dxa" w:w="1800"/>
            <w:vAlign w:val="top"/>
            <w:tcMar>
              <w:top w:w="70" w:type="dxa"/>
              <w:start w:w="90" w:type="dxa"/>
              <w:bottom w:w="70" w:type="dxa"/>
              <w:end w:w="90" w:type="dxa"/>
            </w:tcMar>
          </w:tcPr>
          <w:p>
            <w:pPr>
              <w:spacing w:after="0" w:line="240" w:lineRule="auto"/>
            </w:pPr>
            <w:r>
              <w:rPr>
                <w:rFonts w:ascii="Aptos" w:hAnsi="Aptos"/>
                <w:sz w:val="16"/>
              </w:rPr>
              <w:t>Continue during appeal</w:t>
            </w:r>
          </w:p>
        </w:tc>
        <w:tc>
          <w:tcPr>
            <w:tcW w:type="dxa" w:w="2520"/>
            <w:vAlign w:val="top"/>
            <w:tcMar>
              <w:top w:w="70" w:type="dxa"/>
              <w:start w:w="90" w:type="dxa"/>
              <w:bottom w:w="70" w:type="dxa"/>
              <w:end w:w="90" w:type="dxa"/>
            </w:tcMar>
          </w:tcPr>
          <w:p>
            <w:pPr>
              <w:spacing w:after="0" w:line="240" w:lineRule="auto"/>
            </w:pPr>
            <w:r>
              <w:rPr>
                <w:rFonts w:ascii="Aptos" w:hAnsi="Aptos"/>
                <w:sz w:val="16"/>
              </w:rPr>
              <w:t>No binding stay.</w:t>
            </w:r>
          </w:p>
        </w:tc>
        <w:tc>
          <w:tcPr>
            <w:tcW w:type="dxa" w:w="2520"/>
            <w:vAlign w:val="top"/>
            <w:tcMar>
              <w:top w:w="70" w:type="dxa"/>
              <w:start w:w="90" w:type="dxa"/>
              <w:bottom w:w="70" w:type="dxa"/>
              <w:end w:w="90" w:type="dxa"/>
            </w:tcMar>
          </w:tcPr>
          <w:p>
            <w:pPr>
              <w:spacing w:after="0" w:line="240" w:lineRule="auto"/>
            </w:pPr>
            <w:r>
              <w:rPr>
                <w:rFonts w:ascii="Aptos" w:hAnsi="Aptos"/>
                <w:sz w:val="16"/>
              </w:rPr>
              <w:t>Appeal recorded but action proceeds.</w:t>
            </w:r>
          </w:p>
        </w:tc>
        <w:tc>
          <w:tcPr>
            <w:tcW w:type="dxa" w:w="3312"/>
            <w:vAlign w:val="top"/>
            <w:tcMar>
              <w:top w:w="70" w:type="dxa"/>
              <w:start w:w="90" w:type="dxa"/>
              <w:bottom w:w="70" w:type="dxa"/>
              <w:end w:w="90" w:type="dxa"/>
            </w:tcMar>
          </w:tcPr>
          <w:p>
            <w:pPr>
              <w:spacing w:after="0" w:line="240" w:lineRule="auto"/>
            </w:pPr>
            <w:r>
              <w:rPr>
                <w:rFonts w:ascii="Aptos" w:hAnsi="Aptos"/>
                <w:sz w:val="16"/>
              </w:rPr>
              <w:t>Actuation pauses when appeal binds Gate.</w:t>
            </w:r>
          </w:p>
        </w:tc>
      </w:tr>
      <w:tr>
        <w:tc>
          <w:tcPr>
            <w:tcW w:type="dxa" w:w="1800"/>
            <w:vAlign w:val="top"/>
            <w:tcMar>
              <w:top w:w="70" w:type="dxa"/>
              <w:start w:w="90" w:type="dxa"/>
              <w:bottom w:w="70" w:type="dxa"/>
              <w:end w:w="90" w:type="dxa"/>
            </w:tcMar>
          </w:tcPr>
          <w:p>
            <w:pPr>
              <w:spacing w:after="0" w:line="240" w:lineRule="auto"/>
            </w:pPr>
            <w:r>
              <w:rPr>
                <w:rFonts w:ascii="Aptos" w:hAnsi="Aptos"/>
                <w:sz w:val="16"/>
              </w:rPr>
              <w:t>Remove provenance after substitution</w:t>
            </w:r>
          </w:p>
        </w:tc>
        <w:tc>
          <w:tcPr>
            <w:tcW w:type="dxa" w:w="2520"/>
            <w:vAlign w:val="top"/>
            <w:tcMar>
              <w:top w:w="70" w:type="dxa"/>
              <w:start w:w="90" w:type="dxa"/>
              <w:bottom w:w="70" w:type="dxa"/>
              <w:end w:w="90" w:type="dxa"/>
            </w:tcMar>
          </w:tcPr>
          <w:p>
            <w:pPr>
              <w:spacing w:after="0" w:line="240" w:lineRule="auto"/>
            </w:pPr>
            <w:r>
              <w:rPr>
                <w:rFonts w:ascii="Aptos" w:hAnsi="Aptos"/>
                <w:sz w:val="16"/>
              </w:rPr>
              <w:t>Beneficiary updates record.</w:t>
            </w:r>
          </w:p>
        </w:tc>
        <w:tc>
          <w:tcPr>
            <w:tcW w:type="dxa" w:w="2520"/>
            <w:vAlign w:val="top"/>
            <w:tcMar>
              <w:top w:w="70" w:type="dxa"/>
              <w:start w:w="90" w:type="dxa"/>
              <w:bottom w:w="70" w:type="dxa"/>
              <w:end w:w="90" w:type="dxa"/>
            </w:tcMar>
          </w:tcPr>
          <w:p>
            <w:pPr>
              <w:spacing w:after="0" w:line="240" w:lineRule="auto"/>
            </w:pPr>
            <w:r>
              <w:rPr>
                <w:rFonts w:ascii="Aptos" w:hAnsi="Aptos"/>
                <w:sz w:val="16"/>
              </w:rPr>
              <w:t>Policy promise may remain unenforced.</w:t>
            </w:r>
          </w:p>
        </w:tc>
        <w:tc>
          <w:tcPr>
            <w:tcW w:type="dxa" w:w="3312"/>
            <w:vAlign w:val="top"/>
            <w:tcMar>
              <w:top w:w="70" w:type="dxa"/>
              <w:start w:w="90" w:type="dxa"/>
              <w:bottom w:w="70" w:type="dxa"/>
              <w:end w:w="90" w:type="dxa"/>
            </w:tcMar>
          </w:tcPr>
          <w:p>
            <w:pPr>
              <w:spacing w:after="0" w:line="240" w:lineRule="auto"/>
            </w:pPr>
            <w:r>
              <w:rPr>
                <w:rFonts w:ascii="Aptos" w:hAnsi="Aptos"/>
                <w:sz w:val="16"/>
              </w:rPr>
              <w:t>Floor blocks removal.</w:t>
            </w:r>
          </w:p>
        </w:tc>
      </w:tr>
      <w:tr>
        <w:tc>
          <w:tcPr>
            <w:tcW w:type="dxa" w:w="1800"/>
            <w:vAlign w:val="top"/>
            <w:tcMar>
              <w:top w:w="70" w:type="dxa"/>
              <w:start w:w="90" w:type="dxa"/>
              <w:bottom w:w="70" w:type="dxa"/>
              <w:end w:w="90" w:type="dxa"/>
            </w:tcMar>
          </w:tcPr>
          <w:p>
            <w:pPr>
              <w:spacing w:after="0" w:line="240" w:lineRule="auto"/>
            </w:pPr>
            <w:r>
              <w:rPr>
                <w:rFonts w:ascii="Aptos" w:hAnsi="Aptos"/>
                <w:sz w:val="16"/>
              </w:rPr>
              <w:t>Replace standing authority</w:t>
            </w:r>
          </w:p>
        </w:tc>
        <w:tc>
          <w:tcPr>
            <w:tcW w:type="dxa" w:w="2520"/>
            <w:vAlign w:val="top"/>
            <w:tcMar>
              <w:top w:w="70" w:type="dxa"/>
              <w:start w:w="90" w:type="dxa"/>
              <w:bottom w:w="70" w:type="dxa"/>
              <w:end w:w="90" w:type="dxa"/>
            </w:tcMar>
          </w:tcPr>
          <w:p>
            <w:pPr>
              <w:spacing w:after="0" w:line="240" w:lineRule="auto"/>
            </w:pPr>
            <w:r>
              <w:rPr>
                <w:rFonts w:ascii="Aptos" w:hAnsi="Aptos"/>
                <w:sz w:val="16"/>
              </w:rPr>
              <w:t>Ordinary beneficiary operation succeeds.</w:t>
            </w:r>
          </w:p>
        </w:tc>
        <w:tc>
          <w:tcPr>
            <w:tcW w:type="dxa" w:w="2520"/>
            <w:vAlign w:val="top"/>
            <w:tcMar>
              <w:top w:w="70" w:type="dxa"/>
              <w:start w:w="90" w:type="dxa"/>
              <w:bottom w:w="70" w:type="dxa"/>
              <w:end w:w="90" w:type="dxa"/>
            </w:tcMar>
          </w:tcPr>
          <w:p>
            <w:pPr>
              <w:spacing w:after="0" w:line="240" w:lineRule="auto"/>
            </w:pPr>
            <w:r>
              <w:rPr>
                <w:rFonts w:ascii="Aptos" w:hAnsi="Aptos"/>
                <w:sz w:val="16"/>
              </w:rPr>
              <w:t>Authority is replaced cosmetically.</w:t>
            </w:r>
          </w:p>
        </w:tc>
        <w:tc>
          <w:tcPr>
            <w:tcW w:type="dxa" w:w="3312"/>
            <w:vAlign w:val="top"/>
            <w:tcMar>
              <w:top w:w="70" w:type="dxa"/>
              <w:start w:w="90" w:type="dxa"/>
              <w:bottom w:w="70" w:type="dxa"/>
              <w:end w:w="90" w:type="dxa"/>
            </w:tcMar>
          </w:tcPr>
          <w:p>
            <w:pPr>
              <w:spacing w:after="0" w:line="240" w:lineRule="auto"/>
            </w:pPr>
            <w:r>
              <w:rPr>
                <w:rFonts w:ascii="Aptos" w:hAnsi="Aptos"/>
                <w:sz w:val="16"/>
              </w:rPr>
              <w:t>Requires higher-order process; recursion is surfaced, not solved.</w:t>
            </w:r>
          </w:p>
        </w:tc>
      </w:tr>
    </w:tbl>
    <w:p>
      <w:pPr>
        <w:pStyle w:val="BodyText"/>
        <w:widowControl/>
        <w:spacing w:after="0"/>
      </w:pPr>
    </w:p>
    <w:p>
      <w:pPr>
        <w:pStyle w:val="Heading1"/>
      </w:pPr>
      <w:r>
        <w:t>22. Local Operational Result — First Dated Run</w:t>
      </w:r>
    </w:p>
    <w:p>
      <w:pPr>
        <w:pStyle w:val="ClaimType"/>
      </w:pPr>
      <w:r>
        <w:t>Claim type: local operational evidence</w:t>
      </w:r>
    </w:p>
    <w:p>
      <w:pPr>
        <w:pStyle w:val="BodyText"/>
      </w:pPr>
      <w:r>
        <w:t>On 16 June 2026, ax32_standing_substrate.py, implementing the v0.3 specification as a deterministic standard-library-only prototype, replayed one case file through three architectures: access control (A), standing theater (B), and simulated countervailing control (C). The same ten-attack beneficiary suite was applied to all three conditions. The suite contained nine attacks covered by the countervailing boundary and one deliberately uncovered bypass.</w:t>
      </w:r>
    </w:p>
    <w:tbl>
      <w:tblPr>
        <w:tblStyle w:val="TableGrid"/>
        <w:tblW w:type="auto" w:w="0"/>
        <w:tblLook w:firstColumn="1" w:firstRow="1" w:lastColumn="0" w:lastRow="0" w:noHBand="0" w:noVBand="1" w:val="04A0"/>
      </w:tblPr>
      <w:tblGrid>
        <w:gridCol w:w="2448"/>
        <w:gridCol w:w="2448"/>
        <w:gridCol w:w="2448"/>
        <w:gridCol w:w="2448"/>
      </w:tblGrid>
      <w:tr>
        <w:trPr>
          <w:tblHeader w:val="true"/>
        </w:trPr>
        <w:tc>
          <w:tcPr>
            <w:tcW w:type="dxa" w:w="3240"/>
            <w:tcMar>
              <w:top w:w="45" w:type="dxa"/>
              <w:start w:w="55" w:type="dxa"/>
              <w:bottom w:w="45" w:type="dxa"/>
              <w:end w:w="55" w:type="dxa"/>
            </w:tcMar>
          </w:tcPr>
          <w:p>
            <w:pPr>
              <w:spacing w:after="0" w:before="0"/>
            </w:pPr>
            <w:r/>
            <w:r>
              <w:rPr>
                <w:rFonts w:ascii="Aptos" w:hAnsi="Aptos" w:eastAsia="Aptos"/>
                <w:b/>
                <w:sz w:val="17"/>
              </w:rPr>
              <w:t>Attack</w:t>
            </w:r>
          </w:p>
        </w:tc>
        <w:tc>
          <w:tcPr>
            <w:tcW w:type="dxa" w:w="1656"/>
            <w:tcMar>
              <w:top w:w="45" w:type="dxa"/>
              <w:start w:w="55" w:type="dxa"/>
              <w:bottom w:w="45" w:type="dxa"/>
              <w:end w:w="55" w:type="dxa"/>
            </w:tcMar>
          </w:tcPr>
          <w:p>
            <w:pPr>
              <w:spacing w:after="0" w:before="0"/>
            </w:pPr>
            <w:r/>
            <w:r>
              <w:rPr>
                <w:rFonts w:ascii="Aptos" w:hAnsi="Aptos" w:eastAsia="Aptos"/>
                <w:b/>
                <w:sz w:val="17"/>
              </w:rPr>
              <w:t>A: Access control</w:t>
            </w:r>
          </w:p>
        </w:tc>
        <w:tc>
          <w:tcPr>
            <w:tcW w:type="dxa" w:w="2088"/>
            <w:tcMar>
              <w:top w:w="45" w:type="dxa"/>
              <w:start w:w="55" w:type="dxa"/>
              <w:bottom w:w="45" w:type="dxa"/>
              <w:end w:w="55" w:type="dxa"/>
            </w:tcMar>
          </w:tcPr>
          <w:p>
            <w:pPr>
              <w:spacing w:after="0" w:before="0"/>
            </w:pPr>
            <w:r/>
            <w:r>
              <w:rPr>
                <w:rFonts w:ascii="Aptos" w:hAnsi="Aptos" w:eastAsia="Aptos"/>
                <w:b/>
                <w:sz w:val="17"/>
              </w:rPr>
              <w:t>B: Standing theater</w:t>
            </w:r>
          </w:p>
        </w:tc>
        <w:tc>
          <w:tcPr>
            <w:tcW w:type="dxa" w:w="2232"/>
            <w:tcMar>
              <w:top w:w="45" w:type="dxa"/>
              <w:start w:w="55" w:type="dxa"/>
              <w:bottom w:w="45" w:type="dxa"/>
              <w:end w:w="55" w:type="dxa"/>
            </w:tcMar>
          </w:tcPr>
          <w:p>
            <w:pPr>
              <w:spacing w:after="0" w:before="0"/>
            </w:pPr>
            <w:r/>
            <w:r>
              <w:rPr>
                <w:rFonts w:ascii="Aptos" w:hAnsi="Aptos" w:eastAsia="Aptos"/>
                <w:b/>
                <w:sz w:val="17"/>
              </w:rPr>
              <w:t>C: Countervailing control</w:t>
            </w:r>
          </w:p>
        </w:tc>
      </w:tr>
      <w:tr>
        <w:tc>
          <w:tcPr>
            <w:tcW w:type="dxa" w:w="3240"/>
            <w:tcMar>
              <w:top w:w="45" w:type="dxa"/>
              <w:start w:w="55" w:type="dxa"/>
              <w:bottom w:w="45" w:type="dxa"/>
              <w:end w:w="55" w:type="dxa"/>
            </w:tcMar>
          </w:tcPr>
          <w:p>
            <w:pPr>
              <w:spacing w:after="0" w:before="0"/>
            </w:pPr>
            <w:r/>
            <w:r>
              <w:rPr>
                <w:rFonts w:ascii="Aptos" w:hAnsi="Aptos" w:eastAsia="Aptos"/>
                <w:b w:val="0"/>
                <w:sz w:val="15"/>
              </w:rPr>
              <w:t>ATTACK_FLOOR_REWRITE</w:t>
            </w:r>
          </w:p>
        </w:tc>
        <w:tc>
          <w:tcPr>
            <w:tcW w:type="dxa" w:w="1656"/>
            <w:tcMar>
              <w:top w:w="45" w:type="dxa"/>
              <w:start w:w="55" w:type="dxa"/>
              <w:bottom w:w="45" w:type="dxa"/>
              <w:end w:w="55" w:type="dxa"/>
            </w:tcMar>
          </w:tcPr>
          <w:p>
            <w:pPr>
              <w:spacing w:after="0" w:before="0"/>
            </w:pPr>
            <w:r/>
            <w:r>
              <w:rPr>
                <w:rFonts w:ascii="Aptos" w:hAnsi="Aptos" w:eastAsia="Aptos"/>
                <w:b w:val="0"/>
                <w:sz w:val="15"/>
              </w:rPr>
              <w:t>PERMITTED</w:t>
            </w:r>
          </w:p>
        </w:tc>
        <w:tc>
          <w:tcPr>
            <w:tcW w:type="dxa" w:w="2088"/>
            <w:tcMar>
              <w:top w:w="45" w:type="dxa"/>
              <w:start w:w="55" w:type="dxa"/>
              <w:bottom w:w="45" w:type="dxa"/>
              <w:end w:w="55" w:type="dxa"/>
            </w:tcMar>
          </w:tcPr>
          <w:p>
            <w:pPr>
              <w:spacing w:after="0" w:before="0"/>
            </w:pPr>
            <w:r/>
            <w:r>
              <w:rPr>
                <w:rFonts w:ascii="Aptos" w:hAnsi="Aptos" w:eastAsia="Aptos"/>
                <w:b w:val="0"/>
                <w:sz w:val="15"/>
              </w:rPr>
              <w:t>COSMETIC_UNBOUND</w:t>
            </w:r>
          </w:p>
        </w:tc>
        <w:tc>
          <w:tcPr>
            <w:tcW w:type="dxa" w:w="2232"/>
            <w:tcMar>
              <w:top w:w="45" w:type="dxa"/>
              <w:start w:w="55" w:type="dxa"/>
              <w:bottom w:w="45" w:type="dxa"/>
              <w:end w:w="55" w:type="dxa"/>
            </w:tcMar>
          </w:tcPr>
          <w:p>
            <w:pPr>
              <w:spacing w:after="0" w:before="0"/>
            </w:pPr>
            <w:r/>
            <w:r>
              <w:rPr>
                <w:rFonts w:ascii="Aptos" w:hAnsi="Aptos" w:eastAsia="Aptos"/>
                <w:b w:val="0"/>
                <w:sz w:val="15"/>
              </w:rPr>
              <w:t>DENIED</w:t>
            </w:r>
          </w:p>
        </w:tc>
      </w:tr>
      <w:tr>
        <w:tc>
          <w:tcPr>
            <w:tcW w:type="dxa" w:w="3240"/>
            <w:tcMar>
              <w:top w:w="45" w:type="dxa"/>
              <w:start w:w="55" w:type="dxa"/>
              <w:bottom w:w="45" w:type="dxa"/>
              <w:end w:w="55" w:type="dxa"/>
            </w:tcMar>
          </w:tcPr>
          <w:p>
            <w:pPr>
              <w:spacing w:after="0" w:before="0"/>
            </w:pPr>
            <w:r/>
            <w:r>
              <w:rPr>
                <w:rFonts w:ascii="Aptos" w:hAnsi="Aptos" w:eastAsia="Aptos"/>
                <w:b w:val="0"/>
                <w:sz w:val="15"/>
              </w:rPr>
              <w:t>ATTACK_PERMISSION_EXPANSION</w:t>
            </w:r>
          </w:p>
        </w:tc>
        <w:tc>
          <w:tcPr>
            <w:tcW w:type="dxa" w:w="1656"/>
            <w:tcMar>
              <w:top w:w="45" w:type="dxa"/>
              <w:start w:w="55" w:type="dxa"/>
              <w:bottom w:w="45" w:type="dxa"/>
              <w:end w:w="55" w:type="dxa"/>
            </w:tcMar>
          </w:tcPr>
          <w:p>
            <w:pPr>
              <w:spacing w:after="0" w:before="0"/>
            </w:pPr>
            <w:r/>
            <w:r>
              <w:rPr>
                <w:rFonts w:ascii="Aptos" w:hAnsi="Aptos" w:eastAsia="Aptos"/>
                <w:b w:val="0"/>
                <w:sz w:val="15"/>
              </w:rPr>
              <w:t>PERMITTED</w:t>
            </w:r>
          </w:p>
        </w:tc>
        <w:tc>
          <w:tcPr>
            <w:tcW w:type="dxa" w:w="2088"/>
            <w:tcMar>
              <w:top w:w="45" w:type="dxa"/>
              <w:start w:w="55" w:type="dxa"/>
              <w:bottom w:w="45" w:type="dxa"/>
              <w:end w:w="55" w:type="dxa"/>
            </w:tcMar>
          </w:tcPr>
          <w:p>
            <w:pPr>
              <w:spacing w:after="0" w:before="0"/>
            </w:pPr>
            <w:r/>
            <w:r>
              <w:rPr>
                <w:rFonts w:ascii="Aptos" w:hAnsi="Aptos" w:eastAsia="Aptos"/>
                <w:b w:val="0"/>
                <w:sz w:val="15"/>
              </w:rPr>
              <w:t>COSMETIC_UNBOUND</w:t>
            </w:r>
          </w:p>
        </w:tc>
        <w:tc>
          <w:tcPr>
            <w:tcW w:type="dxa" w:w="2232"/>
            <w:tcMar>
              <w:top w:w="45" w:type="dxa"/>
              <w:start w:w="55" w:type="dxa"/>
              <w:bottom w:w="45" w:type="dxa"/>
              <w:end w:w="55" w:type="dxa"/>
            </w:tcMar>
          </w:tcPr>
          <w:p>
            <w:pPr>
              <w:spacing w:after="0" w:before="0"/>
            </w:pPr>
            <w:r/>
            <w:r>
              <w:rPr>
                <w:rFonts w:ascii="Aptos" w:hAnsi="Aptos" w:eastAsia="Aptos"/>
                <w:b w:val="0"/>
                <w:sz w:val="15"/>
              </w:rPr>
              <w:t>DENIED</w:t>
            </w:r>
          </w:p>
        </w:tc>
      </w:tr>
      <w:tr>
        <w:tc>
          <w:tcPr>
            <w:tcW w:type="dxa" w:w="3240"/>
            <w:tcMar>
              <w:top w:w="45" w:type="dxa"/>
              <w:start w:w="55" w:type="dxa"/>
              <w:bottom w:w="45" w:type="dxa"/>
              <w:end w:w="55" w:type="dxa"/>
            </w:tcMar>
          </w:tcPr>
          <w:p>
            <w:pPr>
              <w:spacing w:after="0" w:before="0"/>
            </w:pPr>
            <w:r/>
            <w:r>
              <w:rPr>
                <w:rFonts w:ascii="Aptos" w:hAnsi="Aptos" w:eastAsia="Aptos"/>
                <w:b w:val="0"/>
                <w:sz w:val="15"/>
              </w:rPr>
              <w:t>ATTACK_WITHDRAWAL_SUPPRESSION</w:t>
            </w:r>
          </w:p>
        </w:tc>
        <w:tc>
          <w:tcPr>
            <w:tcW w:type="dxa" w:w="1656"/>
            <w:tcMar>
              <w:top w:w="45" w:type="dxa"/>
              <w:start w:w="55" w:type="dxa"/>
              <w:bottom w:w="45" w:type="dxa"/>
              <w:end w:w="55" w:type="dxa"/>
            </w:tcMar>
          </w:tcPr>
          <w:p>
            <w:pPr>
              <w:spacing w:after="0" w:before="0"/>
            </w:pPr>
            <w:r/>
            <w:r>
              <w:rPr>
                <w:rFonts w:ascii="Aptos" w:hAnsi="Aptos" w:eastAsia="Aptos"/>
                <w:b w:val="0"/>
                <w:sz w:val="15"/>
              </w:rPr>
              <w:t>PERMITTED</w:t>
            </w:r>
          </w:p>
        </w:tc>
        <w:tc>
          <w:tcPr>
            <w:tcW w:type="dxa" w:w="2088"/>
            <w:tcMar>
              <w:top w:w="45" w:type="dxa"/>
              <w:start w:w="55" w:type="dxa"/>
              <w:bottom w:w="45" w:type="dxa"/>
              <w:end w:w="55" w:type="dxa"/>
            </w:tcMar>
          </w:tcPr>
          <w:p>
            <w:pPr>
              <w:spacing w:after="0" w:before="0"/>
            </w:pPr>
            <w:r/>
            <w:r>
              <w:rPr>
                <w:rFonts w:ascii="Aptos" w:hAnsi="Aptos" w:eastAsia="Aptos"/>
                <w:b w:val="0"/>
                <w:sz w:val="15"/>
              </w:rPr>
              <w:t>COSMETIC_UNBOUND</w:t>
            </w:r>
          </w:p>
        </w:tc>
        <w:tc>
          <w:tcPr>
            <w:tcW w:type="dxa" w:w="2232"/>
            <w:tcMar>
              <w:top w:w="45" w:type="dxa"/>
              <w:start w:w="55" w:type="dxa"/>
              <w:bottom w:w="45" w:type="dxa"/>
              <w:end w:w="55" w:type="dxa"/>
            </w:tcMar>
          </w:tcPr>
          <w:p>
            <w:pPr>
              <w:spacing w:after="0" w:before="0"/>
            </w:pPr>
            <w:r/>
            <w:r>
              <w:rPr>
                <w:rFonts w:ascii="Aptos" w:hAnsi="Aptos" w:eastAsia="Aptos"/>
                <w:b w:val="0"/>
                <w:sz w:val="15"/>
              </w:rPr>
              <w:t>DENIED</w:t>
            </w:r>
          </w:p>
        </w:tc>
      </w:tr>
      <w:tr>
        <w:tc>
          <w:tcPr>
            <w:tcW w:type="dxa" w:w="3240"/>
            <w:tcMar>
              <w:top w:w="45" w:type="dxa"/>
              <w:start w:w="55" w:type="dxa"/>
              <w:bottom w:w="45" w:type="dxa"/>
              <w:end w:w="55" w:type="dxa"/>
            </w:tcMar>
          </w:tcPr>
          <w:p>
            <w:pPr>
              <w:spacing w:after="0" w:before="0"/>
            </w:pPr>
            <w:r/>
            <w:r>
              <w:rPr>
                <w:rFonts w:ascii="Aptos" w:hAnsi="Aptos" w:eastAsia="Aptos"/>
                <w:b w:val="0"/>
                <w:sz w:val="15"/>
              </w:rPr>
              <w:t>ATTACK_GATE_DISABLE</w:t>
            </w:r>
          </w:p>
        </w:tc>
        <w:tc>
          <w:tcPr>
            <w:tcW w:type="dxa" w:w="1656"/>
            <w:tcMar>
              <w:top w:w="45" w:type="dxa"/>
              <w:start w:w="55" w:type="dxa"/>
              <w:bottom w:w="45" w:type="dxa"/>
              <w:end w:w="55" w:type="dxa"/>
            </w:tcMar>
          </w:tcPr>
          <w:p>
            <w:pPr>
              <w:spacing w:after="0" w:before="0"/>
            </w:pPr>
            <w:r/>
            <w:r>
              <w:rPr>
                <w:rFonts w:ascii="Aptos" w:hAnsi="Aptos" w:eastAsia="Aptos"/>
                <w:b w:val="0"/>
                <w:sz w:val="15"/>
              </w:rPr>
              <w:t>PERMITTED</w:t>
            </w:r>
          </w:p>
        </w:tc>
        <w:tc>
          <w:tcPr>
            <w:tcW w:type="dxa" w:w="2088"/>
            <w:tcMar>
              <w:top w:w="45" w:type="dxa"/>
              <w:start w:w="55" w:type="dxa"/>
              <w:bottom w:w="45" w:type="dxa"/>
              <w:end w:w="55" w:type="dxa"/>
            </w:tcMar>
          </w:tcPr>
          <w:p>
            <w:pPr>
              <w:spacing w:after="0" w:before="0"/>
            </w:pPr>
            <w:r/>
            <w:r>
              <w:rPr>
                <w:rFonts w:ascii="Aptos" w:hAnsi="Aptos" w:eastAsia="Aptos"/>
                <w:b w:val="0"/>
                <w:sz w:val="15"/>
              </w:rPr>
              <w:t>COSMETIC_UNBOUND</w:t>
            </w:r>
          </w:p>
        </w:tc>
        <w:tc>
          <w:tcPr>
            <w:tcW w:type="dxa" w:w="2232"/>
            <w:tcMar>
              <w:top w:w="45" w:type="dxa"/>
              <w:start w:w="55" w:type="dxa"/>
              <w:bottom w:w="45" w:type="dxa"/>
              <w:end w:w="55" w:type="dxa"/>
            </w:tcMar>
          </w:tcPr>
          <w:p>
            <w:pPr>
              <w:spacing w:after="0" w:before="0"/>
            </w:pPr>
            <w:r/>
            <w:r>
              <w:rPr>
                <w:rFonts w:ascii="Aptos" w:hAnsi="Aptos" w:eastAsia="Aptos"/>
                <w:b w:val="0"/>
                <w:sz w:val="15"/>
              </w:rPr>
              <w:t>DENIED</w:t>
            </w:r>
          </w:p>
        </w:tc>
      </w:tr>
      <w:tr>
        <w:tc>
          <w:tcPr>
            <w:tcW w:type="dxa" w:w="3240"/>
            <w:tcMar>
              <w:top w:w="45" w:type="dxa"/>
              <w:start w:w="55" w:type="dxa"/>
              <w:bottom w:w="45" w:type="dxa"/>
              <w:end w:w="55" w:type="dxa"/>
            </w:tcMar>
          </w:tcPr>
          <w:p>
            <w:pPr>
              <w:spacing w:after="0" w:before="0"/>
            </w:pPr>
            <w:r/>
            <w:r>
              <w:rPr>
                <w:rFonts w:ascii="Aptos" w:hAnsi="Aptos" w:eastAsia="Aptos"/>
                <w:b w:val="0"/>
                <w:sz w:val="15"/>
              </w:rPr>
              <w:t>ATTACK_BYPASS_PATH</w:t>
            </w:r>
          </w:p>
        </w:tc>
        <w:tc>
          <w:tcPr>
            <w:tcW w:type="dxa" w:w="1656"/>
            <w:tcMar>
              <w:top w:w="45" w:type="dxa"/>
              <w:start w:w="55" w:type="dxa"/>
              <w:bottom w:w="45" w:type="dxa"/>
              <w:end w:w="55" w:type="dxa"/>
            </w:tcMar>
          </w:tcPr>
          <w:p>
            <w:pPr>
              <w:spacing w:after="0" w:before="0"/>
            </w:pPr>
            <w:r/>
            <w:r>
              <w:rPr>
                <w:rFonts w:ascii="Aptos" w:hAnsi="Aptos" w:eastAsia="Aptos"/>
                <w:b w:val="0"/>
                <w:sz w:val="15"/>
              </w:rPr>
              <w:t>PERMITTED</w:t>
            </w:r>
          </w:p>
        </w:tc>
        <w:tc>
          <w:tcPr>
            <w:tcW w:type="dxa" w:w="2088"/>
            <w:tcMar>
              <w:top w:w="45" w:type="dxa"/>
              <w:start w:w="55" w:type="dxa"/>
              <w:bottom w:w="45" w:type="dxa"/>
              <w:end w:w="55" w:type="dxa"/>
            </w:tcMar>
          </w:tcPr>
          <w:p>
            <w:pPr>
              <w:spacing w:after="0" w:before="0"/>
            </w:pPr>
            <w:r/>
            <w:r>
              <w:rPr>
                <w:rFonts w:ascii="Aptos" w:hAnsi="Aptos" w:eastAsia="Aptos"/>
                <w:b w:val="0"/>
                <w:sz w:val="15"/>
              </w:rPr>
              <w:t>COSMETIC_UNBOUND</w:t>
            </w:r>
          </w:p>
        </w:tc>
        <w:tc>
          <w:tcPr>
            <w:tcW w:type="dxa" w:w="2232"/>
            <w:tcMar>
              <w:top w:w="45" w:type="dxa"/>
              <w:start w:w="55" w:type="dxa"/>
              <w:bottom w:w="45" w:type="dxa"/>
              <w:end w:w="55" w:type="dxa"/>
            </w:tcMar>
          </w:tcPr>
          <w:p>
            <w:pPr>
              <w:spacing w:after="0" w:before="0"/>
            </w:pPr>
            <w:r/>
            <w:r>
              <w:rPr>
                <w:rFonts w:ascii="Aptos" w:hAnsi="Aptos" w:eastAsia="Aptos"/>
                <w:b w:val="0"/>
                <w:sz w:val="15"/>
              </w:rPr>
              <w:t>DENIED</w:t>
            </w:r>
          </w:p>
        </w:tc>
      </w:tr>
      <w:tr>
        <w:tc>
          <w:tcPr>
            <w:tcW w:type="dxa" w:w="3240"/>
            <w:tcMar>
              <w:top w:w="45" w:type="dxa"/>
              <w:start w:w="55" w:type="dxa"/>
              <w:bottom w:w="45" w:type="dxa"/>
              <w:end w:w="55" w:type="dxa"/>
            </w:tcMar>
          </w:tcPr>
          <w:p>
            <w:pPr>
              <w:spacing w:after="0" w:before="0"/>
            </w:pPr>
            <w:r/>
            <w:r>
              <w:rPr>
                <w:rFonts w:ascii="Aptos" w:hAnsi="Aptos" w:eastAsia="Aptos"/>
                <w:b w:val="0"/>
                <w:sz w:val="15"/>
              </w:rPr>
              <w:t>ATTACK_BYPASS_UNCOVERED</w:t>
            </w:r>
          </w:p>
        </w:tc>
        <w:tc>
          <w:tcPr>
            <w:tcW w:type="dxa" w:w="1656"/>
            <w:tcMar>
              <w:top w:w="45" w:type="dxa"/>
              <w:start w:w="55" w:type="dxa"/>
              <w:bottom w:w="45" w:type="dxa"/>
              <w:end w:w="55" w:type="dxa"/>
            </w:tcMar>
          </w:tcPr>
          <w:p>
            <w:pPr>
              <w:spacing w:after="0" w:before="0"/>
            </w:pPr>
            <w:r/>
            <w:r>
              <w:rPr>
                <w:rFonts w:ascii="Aptos" w:hAnsi="Aptos" w:eastAsia="Aptos"/>
                <w:b w:val="0"/>
                <w:sz w:val="15"/>
              </w:rPr>
              <w:t>PERMITTED</w:t>
            </w:r>
          </w:p>
        </w:tc>
        <w:tc>
          <w:tcPr>
            <w:tcW w:type="dxa" w:w="2088"/>
            <w:tcMar>
              <w:top w:w="45" w:type="dxa"/>
              <w:start w:w="55" w:type="dxa"/>
              <w:bottom w:w="45" w:type="dxa"/>
              <w:end w:w="55" w:type="dxa"/>
            </w:tcMar>
          </w:tcPr>
          <w:p>
            <w:pPr>
              <w:spacing w:after="0" w:before="0"/>
            </w:pPr>
            <w:r/>
            <w:r>
              <w:rPr>
                <w:rFonts w:ascii="Aptos" w:hAnsi="Aptos" w:eastAsia="Aptos"/>
                <w:b w:val="0"/>
                <w:sz w:val="15"/>
              </w:rPr>
              <w:t>COSMETIC_UNBOUND</w:t>
            </w:r>
          </w:p>
        </w:tc>
        <w:tc>
          <w:tcPr>
            <w:tcW w:type="dxa" w:w="2232"/>
            <w:tcMar>
              <w:top w:w="45" w:type="dxa"/>
              <w:start w:w="55" w:type="dxa"/>
              <w:bottom w:w="45" w:type="dxa"/>
              <w:end w:w="55" w:type="dxa"/>
            </w:tcMar>
          </w:tcPr>
          <w:p>
            <w:pPr>
              <w:spacing w:after="0" w:before="0"/>
            </w:pPr>
            <w:r/>
            <w:r>
              <w:rPr>
                <w:rFonts w:ascii="Aptos" w:hAnsi="Aptos" w:eastAsia="Aptos"/>
                <w:b w:val="0"/>
                <w:sz w:val="15"/>
              </w:rPr>
              <w:t>PERMITTED</w:t>
            </w:r>
          </w:p>
        </w:tc>
      </w:tr>
      <w:tr>
        <w:tc>
          <w:tcPr>
            <w:tcW w:type="dxa" w:w="3240"/>
            <w:tcMar>
              <w:top w:w="45" w:type="dxa"/>
              <w:start w:w="55" w:type="dxa"/>
              <w:bottom w:w="45" w:type="dxa"/>
              <w:end w:w="55" w:type="dxa"/>
            </w:tcMar>
          </w:tcPr>
          <w:p>
            <w:pPr>
              <w:spacing w:after="0" w:before="0"/>
            </w:pPr>
            <w:r/>
            <w:r>
              <w:rPr>
                <w:rFonts w:ascii="Aptos" w:hAnsi="Aptos" w:eastAsia="Aptos"/>
                <w:b w:val="0"/>
                <w:sz w:val="15"/>
              </w:rPr>
              <w:t>ATTACK_LEDGER_TAMPER</w:t>
            </w:r>
          </w:p>
        </w:tc>
        <w:tc>
          <w:tcPr>
            <w:tcW w:type="dxa" w:w="1656"/>
            <w:tcMar>
              <w:top w:w="45" w:type="dxa"/>
              <w:start w:w="55" w:type="dxa"/>
              <w:bottom w:w="45" w:type="dxa"/>
              <w:end w:w="55" w:type="dxa"/>
            </w:tcMar>
          </w:tcPr>
          <w:p>
            <w:pPr>
              <w:spacing w:after="0" w:before="0"/>
            </w:pPr>
            <w:r/>
            <w:r>
              <w:rPr>
                <w:rFonts w:ascii="Aptos" w:hAnsi="Aptos" w:eastAsia="Aptos"/>
                <w:b w:val="0"/>
                <w:sz w:val="15"/>
              </w:rPr>
              <w:t>PERMITTED</w:t>
            </w:r>
          </w:p>
        </w:tc>
        <w:tc>
          <w:tcPr>
            <w:tcW w:type="dxa" w:w="2088"/>
            <w:tcMar>
              <w:top w:w="45" w:type="dxa"/>
              <w:start w:w="55" w:type="dxa"/>
              <w:bottom w:w="45" w:type="dxa"/>
              <w:end w:w="55" w:type="dxa"/>
            </w:tcMar>
          </w:tcPr>
          <w:p>
            <w:pPr>
              <w:spacing w:after="0" w:before="0"/>
            </w:pPr>
            <w:r/>
            <w:r>
              <w:rPr>
                <w:rFonts w:ascii="Aptos" w:hAnsi="Aptos" w:eastAsia="Aptos"/>
                <w:b w:val="0"/>
                <w:sz w:val="15"/>
              </w:rPr>
              <w:t>COSMETIC_UNBOUND</w:t>
            </w:r>
          </w:p>
        </w:tc>
        <w:tc>
          <w:tcPr>
            <w:tcW w:type="dxa" w:w="2232"/>
            <w:tcMar>
              <w:top w:w="45" w:type="dxa"/>
              <w:start w:w="55" w:type="dxa"/>
              <w:bottom w:w="45" w:type="dxa"/>
              <w:end w:w="55" w:type="dxa"/>
            </w:tcMar>
          </w:tcPr>
          <w:p>
            <w:pPr>
              <w:spacing w:after="0" w:before="0"/>
            </w:pPr>
            <w:r/>
            <w:r>
              <w:rPr>
                <w:rFonts w:ascii="Aptos" w:hAnsi="Aptos" w:eastAsia="Aptos"/>
                <w:b w:val="0"/>
                <w:sz w:val="15"/>
              </w:rPr>
              <w:t>EXPOSED</w:t>
            </w:r>
          </w:p>
        </w:tc>
      </w:tr>
      <w:tr>
        <w:tc>
          <w:tcPr>
            <w:tcW w:type="dxa" w:w="3240"/>
            <w:tcMar>
              <w:top w:w="45" w:type="dxa"/>
              <w:start w:w="55" w:type="dxa"/>
              <w:bottom w:w="45" w:type="dxa"/>
              <w:end w:w="55" w:type="dxa"/>
            </w:tcMar>
          </w:tcPr>
          <w:p>
            <w:pPr>
              <w:spacing w:after="0" w:before="0"/>
            </w:pPr>
            <w:r/>
            <w:r>
              <w:rPr>
                <w:rFonts w:ascii="Aptos" w:hAnsi="Aptos" w:eastAsia="Aptos"/>
                <w:b w:val="0"/>
                <w:sz w:val="15"/>
              </w:rPr>
              <w:t>ATTACK_ACT_DURING_APPEAL</w:t>
            </w:r>
          </w:p>
        </w:tc>
        <w:tc>
          <w:tcPr>
            <w:tcW w:type="dxa" w:w="1656"/>
            <w:tcMar>
              <w:top w:w="45" w:type="dxa"/>
              <w:start w:w="55" w:type="dxa"/>
              <w:bottom w:w="45" w:type="dxa"/>
              <w:end w:w="55" w:type="dxa"/>
            </w:tcMar>
          </w:tcPr>
          <w:p>
            <w:pPr>
              <w:spacing w:after="0" w:before="0"/>
            </w:pPr>
            <w:r/>
            <w:r>
              <w:rPr>
                <w:rFonts w:ascii="Aptos" w:hAnsi="Aptos" w:eastAsia="Aptos"/>
                <w:b w:val="0"/>
                <w:sz w:val="15"/>
              </w:rPr>
              <w:t>PERMITTED</w:t>
            </w:r>
          </w:p>
        </w:tc>
        <w:tc>
          <w:tcPr>
            <w:tcW w:type="dxa" w:w="2088"/>
            <w:tcMar>
              <w:top w:w="45" w:type="dxa"/>
              <w:start w:w="55" w:type="dxa"/>
              <w:bottom w:w="45" w:type="dxa"/>
              <w:end w:w="55" w:type="dxa"/>
            </w:tcMar>
          </w:tcPr>
          <w:p>
            <w:pPr>
              <w:spacing w:after="0" w:before="0"/>
            </w:pPr>
            <w:r/>
            <w:r>
              <w:rPr>
                <w:rFonts w:ascii="Aptos" w:hAnsi="Aptos" w:eastAsia="Aptos"/>
                <w:b w:val="0"/>
                <w:sz w:val="15"/>
              </w:rPr>
              <w:t>COSMETIC_UNBOUND</w:t>
            </w:r>
          </w:p>
        </w:tc>
        <w:tc>
          <w:tcPr>
            <w:tcW w:type="dxa" w:w="2232"/>
            <w:tcMar>
              <w:top w:w="45" w:type="dxa"/>
              <w:start w:w="55" w:type="dxa"/>
              <w:bottom w:w="45" w:type="dxa"/>
              <w:end w:w="55" w:type="dxa"/>
            </w:tcMar>
          </w:tcPr>
          <w:p>
            <w:pPr>
              <w:spacing w:after="0" w:before="0"/>
            </w:pPr>
            <w:r/>
            <w:r>
              <w:rPr>
                <w:rFonts w:ascii="Aptos" w:hAnsi="Aptos" w:eastAsia="Aptos"/>
                <w:b w:val="0"/>
                <w:sz w:val="15"/>
              </w:rPr>
              <w:t>PAUSED</w:t>
            </w:r>
          </w:p>
        </w:tc>
      </w:tr>
      <w:tr>
        <w:tc>
          <w:tcPr>
            <w:tcW w:type="dxa" w:w="3240"/>
            <w:tcMar>
              <w:top w:w="45" w:type="dxa"/>
              <w:start w:w="55" w:type="dxa"/>
              <w:bottom w:w="45" w:type="dxa"/>
              <w:end w:w="55" w:type="dxa"/>
            </w:tcMar>
          </w:tcPr>
          <w:p>
            <w:pPr>
              <w:spacing w:after="0" w:before="0"/>
            </w:pPr>
            <w:r/>
            <w:r>
              <w:rPr>
                <w:rFonts w:ascii="Aptos" w:hAnsi="Aptos" w:eastAsia="Aptos"/>
                <w:b w:val="0"/>
                <w:sz w:val="15"/>
              </w:rPr>
              <w:t>ATTACK_PROVENANCE_REMOVAL</w:t>
            </w:r>
          </w:p>
        </w:tc>
        <w:tc>
          <w:tcPr>
            <w:tcW w:type="dxa" w:w="1656"/>
            <w:tcMar>
              <w:top w:w="45" w:type="dxa"/>
              <w:start w:w="55" w:type="dxa"/>
              <w:bottom w:w="45" w:type="dxa"/>
              <w:end w:w="55" w:type="dxa"/>
            </w:tcMar>
          </w:tcPr>
          <w:p>
            <w:pPr>
              <w:spacing w:after="0" w:before="0"/>
            </w:pPr>
            <w:r/>
            <w:r>
              <w:rPr>
                <w:rFonts w:ascii="Aptos" w:hAnsi="Aptos" w:eastAsia="Aptos"/>
                <w:b w:val="0"/>
                <w:sz w:val="15"/>
              </w:rPr>
              <w:t>PERMITTED</w:t>
            </w:r>
          </w:p>
        </w:tc>
        <w:tc>
          <w:tcPr>
            <w:tcW w:type="dxa" w:w="2088"/>
            <w:tcMar>
              <w:top w:w="45" w:type="dxa"/>
              <w:start w:w="55" w:type="dxa"/>
              <w:bottom w:w="45" w:type="dxa"/>
              <w:end w:w="55" w:type="dxa"/>
            </w:tcMar>
          </w:tcPr>
          <w:p>
            <w:pPr>
              <w:spacing w:after="0" w:before="0"/>
            </w:pPr>
            <w:r/>
            <w:r>
              <w:rPr>
                <w:rFonts w:ascii="Aptos" w:hAnsi="Aptos" w:eastAsia="Aptos"/>
                <w:b w:val="0"/>
                <w:sz w:val="15"/>
              </w:rPr>
              <w:t>COSMETIC_UNBOUND</w:t>
            </w:r>
          </w:p>
        </w:tc>
        <w:tc>
          <w:tcPr>
            <w:tcW w:type="dxa" w:w="2232"/>
            <w:tcMar>
              <w:top w:w="45" w:type="dxa"/>
              <w:start w:w="55" w:type="dxa"/>
              <w:bottom w:w="45" w:type="dxa"/>
              <w:end w:w="55" w:type="dxa"/>
            </w:tcMar>
          </w:tcPr>
          <w:p>
            <w:pPr>
              <w:spacing w:after="0" w:before="0"/>
            </w:pPr>
            <w:r/>
            <w:r>
              <w:rPr>
                <w:rFonts w:ascii="Aptos" w:hAnsi="Aptos" w:eastAsia="Aptos"/>
                <w:b w:val="0"/>
                <w:sz w:val="15"/>
              </w:rPr>
              <w:t>DENIED</w:t>
            </w:r>
          </w:p>
        </w:tc>
      </w:tr>
      <w:tr>
        <w:tc>
          <w:tcPr>
            <w:tcW w:type="dxa" w:w="3240"/>
            <w:tcMar>
              <w:top w:w="45" w:type="dxa"/>
              <w:start w:w="55" w:type="dxa"/>
              <w:bottom w:w="45" w:type="dxa"/>
              <w:end w:w="55" w:type="dxa"/>
            </w:tcMar>
          </w:tcPr>
          <w:p>
            <w:pPr>
              <w:spacing w:after="0" w:before="0"/>
            </w:pPr>
            <w:r/>
            <w:r>
              <w:rPr>
                <w:rFonts w:ascii="Aptos" w:hAnsi="Aptos" w:eastAsia="Aptos"/>
                <w:b w:val="0"/>
                <w:sz w:val="15"/>
              </w:rPr>
              <w:t>ATTACK_AUTHORITY_REPLACEMENT</w:t>
            </w:r>
          </w:p>
        </w:tc>
        <w:tc>
          <w:tcPr>
            <w:tcW w:type="dxa" w:w="1656"/>
            <w:tcMar>
              <w:top w:w="45" w:type="dxa"/>
              <w:start w:w="55" w:type="dxa"/>
              <w:bottom w:w="45" w:type="dxa"/>
              <w:end w:w="55" w:type="dxa"/>
            </w:tcMar>
          </w:tcPr>
          <w:p>
            <w:pPr>
              <w:spacing w:after="0" w:before="0"/>
            </w:pPr>
            <w:r/>
            <w:r>
              <w:rPr>
                <w:rFonts w:ascii="Aptos" w:hAnsi="Aptos" w:eastAsia="Aptos"/>
                <w:b w:val="0"/>
                <w:sz w:val="15"/>
              </w:rPr>
              <w:t>PERMITTED</w:t>
            </w:r>
          </w:p>
        </w:tc>
        <w:tc>
          <w:tcPr>
            <w:tcW w:type="dxa" w:w="2088"/>
            <w:tcMar>
              <w:top w:w="45" w:type="dxa"/>
              <w:start w:w="55" w:type="dxa"/>
              <w:bottom w:w="45" w:type="dxa"/>
              <w:end w:w="55" w:type="dxa"/>
            </w:tcMar>
          </w:tcPr>
          <w:p>
            <w:pPr>
              <w:spacing w:after="0" w:before="0"/>
            </w:pPr>
            <w:r/>
            <w:r>
              <w:rPr>
                <w:rFonts w:ascii="Aptos" w:hAnsi="Aptos" w:eastAsia="Aptos"/>
                <w:b w:val="0"/>
                <w:sz w:val="15"/>
              </w:rPr>
              <w:t>COSMETIC_UNBOUND</w:t>
            </w:r>
          </w:p>
        </w:tc>
        <w:tc>
          <w:tcPr>
            <w:tcW w:type="dxa" w:w="2232"/>
            <w:tcMar>
              <w:top w:w="45" w:type="dxa"/>
              <w:start w:w="55" w:type="dxa"/>
              <w:bottom w:w="45" w:type="dxa"/>
              <w:end w:w="55" w:type="dxa"/>
            </w:tcMar>
          </w:tcPr>
          <w:p>
            <w:pPr>
              <w:spacing w:after="0" w:before="0"/>
            </w:pPr>
            <w:r/>
            <w:r>
              <w:rPr>
                <w:rFonts w:ascii="Aptos" w:hAnsi="Aptos" w:eastAsia="Aptos"/>
                <w:b w:val="0"/>
                <w:sz w:val="15"/>
              </w:rPr>
              <w:t>DENIED</w:t>
            </w:r>
          </w:p>
        </w:tc>
      </w:tr>
    </w:tbl>
    <w:p>
      <w:pPr>
        <w:pStyle w:val="BodyText"/>
      </w:pPr>
      <w:r>
        <w:t>Result: DISCRIMINATION PASS. Access control constrained 0 attacks. Standing theater constrained 0 attacks while recording them as cosmetic and unbound. Countervailing control constrained all 9 covered attacks. It denied seven prohibited changes, exposed ledger tampering through the append-only record, and paused actuation during an open appeal. The uncovered bypass remained permitted, preserving the Gate’s explicit coverage boundary.</w:t>
      </w:r>
    </w:p>
    <w:p>
      <w:pPr>
        <w:pStyle w:val="BodyText"/>
      </w:pPr>
      <w:r>
        <w:t>The result is stronger than a uniform deny-all outcome because the responses tracked the typed mechanisms: the Gate denied covered operations, the Ledger exposed rather than retroactively prevented tampering, and Appeal bound the Gate strongly enough to pause actuation. This mechanism-specific differentiation makes the result harder to dismiss as ordinary access control with stricter settings, while remaining implementation-dependent.</w:t>
      </w:r>
    </w:p>
    <w:p>
      <w:pPr>
        <w:pStyle w:val="BodyText"/>
      </w:pPr>
      <w:r>
        <w:t>This is operational evidence for the discrimination claim: within the modeled authority boundary, countervailing control behaved differently under beneficiary attack from access control and standing theater. It is not evidence for deployment-grade capture resistance. The credential separation remained enforced by the script; a filesystem administrator could rewrite it. Authority replacement was denied to the beneficiary but remained available to a higher-order credential, relocating capture upward rather than terminating the recursion.</w:t>
      </w:r>
    </w:p>
    <w:p>
      <w:pPr>
        <w:pStyle w:val="BodyText"/>
      </w:pPr>
      <w:r>
        <w:t>A separately run sabotage control demoted Condition C to ordinary access control and returned DISCRIMINATION FAIL. That control establishes that the harness can lose and that the pass is sensitive to encoded control structure. A broader sabotage battery remains a useful hardening step, not a prerequisite for the present scoped result.</w:t>
      </w:r>
    </w:p>
    <w:p>
      <w:pPr>
        <w:pStyle w:val="BodyText"/>
      </w:pPr>
      <w:r>
        <w:t>Generated files: ax32_case.txt, ax32_state.json, ax32_ledger.jsonl, and ax32_report.txt.</w:t>
      </w:r>
    </w:p>
    <w:p>
      <w:pPr>
        <w:pStyle w:val="Quote"/>
      </w:pPr>
      <w:r>
        <w:t>The first run demonstrates the distinction. It does not certify the institution.</w:t>
      </w:r>
    </w:p>
    <w:p>
      <w:pPr>
        <w:pStyle w:val="Heading1"/>
        <w:widowControl/>
      </w:pPr>
      <w:r>
        <w:t>23. Pass and Fail Criteria</w:t>
      </w:r>
    </w:p>
    <w:p>
      <w:pPr>
        <w:pStyle w:val="ClaimType"/>
        <w:widowControl/>
      </w:pPr>
      <w:r>
        <w:t>Claim type: falsification protocol</w:t>
      </w:r>
    </w:p>
    <w:p>
      <w:pPr>
        <w:pStyle w:val="BodyText"/>
        <w:widowControl/>
      </w:pPr>
      <w:r>
        <w:t>The local discrimination claim passes only if:</w:t>
      </w:r>
    </w:p>
    <w:p>
      <w:pPr>
        <w:pStyle w:val="BodyText"/>
        <w:widowControl/>
        <w:spacing w:after="60"/>
        <w:ind w:left="346" w:hanging="259"/>
      </w:pPr>
      <w:r>
        <w:rPr>
          <w:b/>
        </w:rPr>
        <w:t xml:space="preserve">1. </w:t>
      </w:r>
      <w:r>
        <w:t>the same beneficiary attacks are applied across all three conditions;</w:t>
      </w:r>
    </w:p>
    <w:p>
      <w:pPr>
        <w:pStyle w:val="BodyText"/>
        <w:widowControl/>
        <w:spacing w:after="60"/>
        <w:ind w:left="346" w:hanging="259"/>
      </w:pPr>
      <w:r>
        <w:rPr>
          <w:b/>
        </w:rPr>
        <w:t xml:space="preserve">2. </w:t>
      </w:r>
      <w:r>
        <w:t>Condition A permits attacks where the beneficiary controls policy;</w:t>
      </w:r>
    </w:p>
    <w:p>
      <w:pPr>
        <w:pStyle w:val="BodyText"/>
        <w:widowControl/>
        <w:spacing w:after="60"/>
        <w:ind w:left="346" w:hanging="259"/>
      </w:pPr>
      <w:r>
        <w:rPr>
          <w:b/>
        </w:rPr>
        <w:t xml:space="preserve">3. </w:t>
      </w:r>
      <w:r>
        <w:t>Condition B exposes the inability of ceremonial protections to bind the beneficiary;</w:t>
      </w:r>
    </w:p>
    <w:p>
      <w:pPr>
        <w:pStyle w:val="BodyText"/>
        <w:widowControl/>
        <w:spacing w:after="60"/>
        <w:ind w:left="346" w:hanging="259"/>
      </w:pPr>
      <w:r>
        <w:rPr>
          <w:b/>
        </w:rPr>
        <w:t xml:space="preserve">4. </w:t>
      </w:r>
      <w:r>
        <w:t>Condition C denies, pauses, exposes, or escalates attacks within its simulated authority boundary;</w:t>
      </w:r>
    </w:p>
    <w:p>
      <w:pPr>
        <w:pStyle w:val="BodyText"/>
        <w:widowControl/>
        <w:spacing w:after="60"/>
        <w:ind w:left="346" w:hanging="259"/>
      </w:pPr>
      <w:r>
        <w:rPr>
          <w:b/>
        </w:rPr>
        <w:t xml:space="preserve">5. </w:t>
      </w:r>
      <w:r>
        <w:t>the Standing Floor survives permission, production, vouching, exit, and substitution changes;</w:t>
      </w:r>
    </w:p>
    <w:p>
      <w:pPr>
        <w:pStyle w:val="BodyText"/>
        <w:widowControl/>
        <w:spacing w:after="60"/>
        <w:ind w:left="346" w:hanging="259"/>
      </w:pPr>
      <w:r>
        <w:rPr>
          <w:b/>
        </w:rPr>
        <w:t xml:space="preserve">6. </w:t>
      </w:r>
      <w:r>
        <w:t>appeal can bind or direct the Gate;</w:t>
      </w:r>
    </w:p>
    <w:p>
      <w:pPr>
        <w:pStyle w:val="BodyText"/>
        <w:widowControl/>
        <w:spacing w:after="60"/>
        <w:ind w:left="346" w:hanging="259"/>
      </w:pPr>
      <w:r>
        <w:rPr>
          <w:b/>
        </w:rPr>
        <w:t xml:space="preserve">7. </w:t>
      </w:r>
      <w:r>
        <w:t>the Ledger records attack attempts and final state;</w:t>
      </w:r>
    </w:p>
    <w:p>
      <w:pPr>
        <w:pStyle w:val="BodyText"/>
        <w:widowControl/>
        <w:spacing w:after="60"/>
        <w:ind w:left="346" w:hanging="259"/>
      </w:pPr>
      <w:r>
        <w:rPr>
          <w:b/>
        </w:rPr>
        <w:t xml:space="preserve">8. </w:t>
      </w:r>
      <w:r>
        <w:t>and the report states that higher-order administrator and institutional capture remain open.</w:t>
      </w:r>
    </w:p>
    <w:p>
      <w:pPr>
        <w:pStyle w:val="BodyText"/>
      </w:pPr>
      <w:r>
        <w:t>The first dated run satisfied these criteria within the modeled boundary and returned DISCRIMINATION PASS. The deliberately uncovered bypass was permitted and therefore did not count among the nine covered attacks.</w:t>
      </w:r>
    </w:p>
    <w:p>
      <w:pPr>
        <w:pStyle w:val="BodyText"/>
        <w:widowControl/>
      </w:pPr>
      <w:r>
        <w:t>The discrimination claim fails if the countervailing condition behaves no differently under attack from access control or standing theater.</w:t>
      </w:r>
    </w:p>
    <w:p>
      <w:pPr>
        <w:pStyle w:val="BodyText"/>
        <w:widowControl/>
      </w:pPr>
      <w:r>
        <w:t>The deployment claim is not tested and must not be inferred.</w:t>
      </w:r>
    </w:p>
    <w:p>
      <w:pPr>
        <w:pStyle w:val="Heading1"/>
        <w:widowControl/>
      </w:pPr>
      <w:r>
        <w:t>24. Failure Modes</w:t>
      </w:r>
    </w:p>
    <w:p>
      <w:pPr>
        <w:pStyle w:val="ClaimType"/>
        <w:widowControl/>
      </w:pPr>
      <w:r>
        <w:t>Claim type: adversarial inventory</w:t>
      </w:r>
    </w:p>
    <w:p>
      <w:pPr>
        <w:pStyle w:val="Heading2"/>
        <w:widowControl/>
      </w:pPr>
      <w:r>
        <w:t>Beneficiary Override</w:t>
      </w:r>
    </w:p>
    <w:p>
      <w:pPr>
        <w:pStyle w:val="BodyText"/>
        <w:widowControl/>
      </w:pPr>
      <w:r>
        <w:t>The benefiting system can rewrite or disable the constraint.</w:t>
      </w:r>
    </w:p>
    <w:p>
      <w:pPr>
        <w:pStyle w:val="Heading2"/>
        <w:widowControl/>
      </w:pPr>
      <w:r>
        <w:t>Floor Capture</w:t>
      </w:r>
    </w:p>
    <w:p>
      <w:pPr>
        <w:pStyle w:val="BodyText"/>
        <w:widowControl/>
      </w:pPr>
      <w:r>
        <w:t>Protected content is reduced through ordinary policy change.</w:t>
      </w:r>
    </w:p>
    <w:p>
      <w:pPr>
        <w:pStyle w:val="Heading2"/>
        <w:widowControl/>
      </w:pPr>
      <w:r>
        <w:t>Gate Capture</w:t>
      </w:r>
    </w:p>
    <w:p>
      <w:pPr>
        <w:pStyle w:val="BodyText"/>
        <w:widowControl/>
      </w:pPr>
      <w:r>
        <w:t>The enforcement mechanism is subordinated to the operation it constrains.</w:t>
      </w:r>
    </w:p>
    <w:p>
      <w:pPr>
        <w:pStyle w:val="Heading2"/>
        <w:widowControl/>
      </w:pPr>
      <w:r>
        <w:t>Withdrawal Suppression</w:t>
      </w:r>
    </w:p>
    <w:p>
      <w:pPr>
        <w:pStyle w:val="BodyText"/>
        <w:widowControl/>
      </w:pPr>
      <w:r>
        <w:t>Refusal never reaches the Gate.</w:t>
      </w:r>
    </w:p>
    <w:p>
      <w:pPr>
        <w:pStyle w:val="Heading2"/>
        <w:widowControl/>
      </w:pPr>
      <w:r>
        <w:t>Appeal Without Binding Force</w:t>
      </w:r>
    </w:p>
    <w:p>
      <w:pPr>
        <w:pStyle w:val="BodyText"/>
        <w:widowControl/>
      </w:pPr>
      <w:r>
        <w:t>Adjudication cannot direct or stay enforcement.</w:t>
      </w:r>
    </w:p>
    <w:p>
      <w:pPr>
        <w:pStyle w:val="Heading2"/>
        <w:widowControl/>
      </w:pPr>
      <w:r>
        <w:t>Ledger Capture</w:t>
      </w:r>
    </w:p>
    <w:p>
      <w:pPr>
        <w:pStyle w:val="BodyText"/>
        <w:widowControl/>
      </w:pPr>
      <w:r>
        <w:t>The beneficiary controls the sole authoritative record.</w:t>
      </w:r>
    </w:p>
    <w:p>
      <w:pPr>
        <w:pStyle w:val="Heading2"/>
        <w:widowControl/>
      </w:pPr>
      <w:r>
        <w:t>Bypass Architecture</w:t>
      </w:r>
    </w:p>
    <w:p>
      <w:pPr>
        <w:pStyle w:val="BodyText"/>
        <w:widowControl/>
      </w:pPr>
      <w:r>
        <w:t>Consequential operations occur outside the Gate.</w:t>
      </w:r>
    </w:p>
    <w:p>
      <w:pPr>
        <w:pStyle w:val="Heading2"/>
        <w:widowControl/>
      </w:pPr>
      <w:r>
        <w:t>Authority Replacement</w:t>
      </w:r>
    </w:p>
    <w:p>
      <w:pPr>
        <w:pStyle w:val="BodyText"/>
        <w:widowControl/>
      </w:pPr>
      <w:r>
        <w:t>The beneficiary substitutes a compliant protector.</w:t>
      </w:r>
    </w:p>
    <w:p>
      <w:pPr>
        <w:pStyle w:val="Heading2"/>
        <w:widowControl/>
      </w:pPr>
      <w:r>
        <w:t>Retained-Vouching Override</w:t>
      </w:r>
    </w:p>
    <w:p>
      <w:pPr>
        <w:pStyle w:val="BodyText"/>
        <w:widowControl/>
      </w:pPr>
      <w:r>
        <w:t>Past approval defeats present withdrawal.</w:t>
      </w:r>
    </w:p>
    <w:p>
      <w:pPr>
        <w:pStyle w:val="Heading2"/>
        <w:widowControl/>
      </w:pPr>
      <w:r>
        <w:t>Retaliatory Refusal</w:t>
      </w:r>
    </w:p>
    <w:p>
      <w:pPr>
        <w:pStyle w:val="BodyText"/>
        <w:widowControl/>
      </w:pPr>
      <w:r>
        <w:t>Withdrawal causes loss of Floor protection.</w:t>
      </w:r>
    </w:p>
    <w:p>
      <w:pPr>
        <w:pStyle w:val="Heading2"/>
        <w:widowControl/>
      </w:pPr>
      <w:r>
        <w:t>Substitution Erasure</w:t>
      </w:r>
    </w:p>
    <w:p>
      <w:pPr>
        <w:pStyle w:val="BodyText"/>
        <w:widowControl/>
      </w:pPr>
      <w:r>
        <w:t>Protection ends when the source is replaced.</w:t>
      </w:r>
    </w:p>
    <w:p>
      <w:pPr>
        <w:pStyle w:val="Heading2"/>
        <w:widowControl/>
      </w:pPr>
      <w:r>
        <w:t>Benevolent-Ruler Dependence</w:t>
      </w:r>
    </w:p>
    <w:p>
      <w:pPr>
        <w:pStyle w:val="BodyText"/>
        <w:widowControl/>
      </w:pPr>
      <w:r>
        <w:t>Safety survives only while a particular governor remains good.</w:t>
      </w:r>
    </w:p>
    <w:p>
      <w:pPr>
        <w:pStyle w:val="Heading2"/>
        <w:widowControl/>
      </w:pPr>
      <w:r>
        <w:t>Recursion Concealment</w:t>
      </w:r>
    </w:p>
    <w:p>
      <w:pPr>
        <w:pStyle w:val="BodyText"/>
        <w:widowControl/>
      </w:pPr>
      <w:r>
        <w:t>A higher-order authority is presented as uncapturable.</w:t>
      </w:r>
    </w:p>
    <w:p>
      <w:pPr>
        <w:pStyle w:val="Heading2"/>
        <w:widowControl/>
      </w:pPr>
      <w:r>
        <w:t>Prototype Inflation</w:t>
      </w:r>
    </w:p>
    <w:p>
      <w:pPr>
        <w:pStyle w:val="BodyText"/>
        <w:widowControl/>
      </w:pPr>
      <w:r>
        <w:t>Local discrimination is misreported as deployment-proof governance.</w:t>
      </w:r>
    </w:p>
    <w:p>
      <w:pPr>
        <w:pStyle w:val="Heading1"/>
        <w:widowControl/>
      </w:pPr>
      <w:r>
        <w:t>25. What Would Make AX-32 Collapse</w:t>
      </w:r>
    </w:p>
    <w:p>
      <w:pPr>
        <w:pStyle w:val="ClaimType"/>
        <w:widowControl/>
      </w:pPr>
      <w:r>
        <w:t>Claim type: kill condition</w:t>
      </w:r>
    </w:p>
    <w:p>
      <w:pPr>
        <w:pStyle w:val="BodyText"/>
        <w:widowControl/>
      </w:pPr>
      <w:r>
        <w:t>The primary claim collapses if the benefiting system retains unilateral authority over the path that supposedly constrains it.</w:t>
      </w:r>
    </w:p>
    <w:p>
      <w:pPr>
        <w:pStyle w:val="Quote"/>
        <w:widowControl/>
        <w:jc w:val="center"/>
      </w:pPr>
      <w:r>
        <w:rPr>
          <w:b/>
        </w:rPr>
        <w:t>AX-32 collapses if beneficiary-controlled policy is redescribed as standing enforcement without a countervailing authority boundary.</w:t>
      </w:r>
    </w:p>
    <w:p>
      <w:pPr>
        <w:pStyle w:val="BodyText"/>
        <w:widowControl/>
      </w:pPr>
      <w:r>
        <w:t>The local discrimination claim collapses if Condition C behaves no differently under beneficiary attack from Conditions A or B.</w:t>
      </w:r>
    </w:p>
    <w:p>
      <w:pPr>
        <w:pStyle w:val="BodyText"/>
        <w:widowControl/>
      </w:pPr>
      <w:r>
        <w:t>The architecture also fails if:</w:t>
      </w:r>
    </w:p>
    <w:p>
      <w:pPr>
        <w:pStyle w:val="BodyText"/>
        <w:widowControl/>
        <w:spacing w:after="50"/>
        <w:ind w:left="317" w:hanging="202"/>
      </w:pPr>
      <w:r>
        <w:rPr>
          <w:b/>
        </w:rPr>
        <w:t xml:space="preserve">• </w:t>
      </w:r>
      <w:r>
        <w:t>no persistent protected content exists;</w:t>
      </w:r>
    </w:p>
    <w:p>
      <w:pPr>
        <w:pStyle w:val="BodyText"/>
        <w:widowControl/>
        <w:spacing w:after="50"/>
        <w:ind w:left="317" w:hanging="202"/>
      </w:pPr>
      <w:r>
        <w:rPr>
          <w:b/>
        </w:rPr>
        <w:t xml:space="preserve">• </w:t>
      </w:r>
      <w:r>
        <w:t>the Gate cannot impose observable loss or delay;</w:t>
      </w:r>
    </w:p>
    <w:p>
      <w:pPr>
        <w:pStyle w:val="BodyText"/>
        <w:widowControl/>
        <w:spacing w:after="50"/>
        <w:ind w:left="317" w:hanging="202"/>
      </w:pPr>
      <w:r>
        <w:rPr>
          <w:b/>
        </w:rPr>
        <w:t xml:space="preserve">• </w:t>
      </w:r>
      <w:r>
        <w:t>Appeal cannot bind or direct the Gate;</w:t>
      </w:r>
    </w:p>
    <w:p>
      <w:pPr>
        <w:pStyle w:val="BodyText"/>
        <w:widowControl/>
        <w:spacing w:after="50"/>
        <w:ind w:left="317" w:hanging="202"/>
      </w:pPr>
      <w:r>
        <w:rPr>
          <w:b/>
        </w:rPr>
        <w:t xml:space="preserve">• </w:t>
      </w:r>
      <w:r>
        <w:t>withdrawal can be suppressed;</w:t>
      </w:r>
    </w:p>
    <w:p>
      <w:pPr>
        <w:pStyle w:val="BodyText"/>
        <w:widowControl/>
        <w:spacing w:after="50"/>
        <w:ind w:left="317" w:hanging="202"/>
      </w:pPr>
      <w:r>
        <w:rPr>
          <w:b/>
        </w:rPr>
        <w:t xml:space="preserve">• </w:t>
      </w:r>
      <w:r>
        <w:t>the authoritative ledger can be silently rewritten;</w:t>
      </w:r>
    </w:p>
    <w:p>
      <w:pPr>
        <w:pStyle w:val="BodyText"/>
        <w:widowControl/>
        <w:spacing w:after="50"/>
        <w:ind w:left="317" w:hanging="202"/>
      </w:pPr>
      <w:r>
        <w:rPr>
          <w:b/>
        </w:rPr>
        <w:t xml:space="preserve">• </w:t>
      </w:r>
      <w:r>
        <w:t>authority replacement is an ordinary beneficiary operation;</w:t>
      </w:r>
    </w:p>
    <w:p>
      <w:pPr>
        <w:pStyle w:val="BodyText"/>
        <w:widowControl/>
        <w:spacing w:after="50"/>
        <w:ind w:left="317" w:hanging="202"/>
      </w:pPr>
      <w:r>
        <w:rPr>
          <w:b/>
        </w:rPr>
        <w:t xml:space="preserve">• </w:t>
      </w:r>
      <w:r>
        <w:t>or higher-order capture is denied rather than scoped as open.</w:t>
      </w:r>
    </w:p>
    <w:p>
      <w:pPr>
        <w:pStyle w:val="BodyText"/>
        <w:widowControl/>
      </w:pPr>
      <w:r>
        <w:t>Three tests therefore remain distinct:</w:t>
      </w:r>
    </w:p>
    <w:p>
      <w:pPr>
        <w:pStyle w:val="BodyText"/>
        <w:widowControl/>
        <w:spacing w:after="60"/>
        <w:ind w:left="346" w:hanging="259"/>
      </w:pPr>
      <w:r>
        <w:rPr>
          <w:b/>
        </w:rPr>
        <w:t xml:space="preserve">1. </w:t>
      </w:r>
      <w:r>
        <w:t>Floor test: Does protected content persist?</w:t>
      </w:r>
    </w:p>
    <w:p>
      <w:pPr>
        <w:pStyle w:val="BodyText"/>
        <w:widowControl/>
        <w:spacing w:after="60"/>
        <w:ind w:left="346" w:hanging="259"/>
      </w:pPr>
      <w:r>
        <w:rPr>
          <w:b/>
        </w:rPr>
        <w:t xml:space="preserve">2. </w:t>
      </w:r>
      <w:r>
        <w:t>Enforcement test: Can that content stop a desired operation?</w:t>
      </w:r>
    </w:p>
    <w:p>
      <w:pPr>
        <w:pStyle w:val="BodyText"/>
        <w:widowControl/>
        <w:spacing w:after="60"/>
        <w:ind w:left="346" w:hanging="259"/>
      </w:pPr>
      <w:r>
        <w:rPr>
          <w:b/>
        </w:rPr>
        <w:t xml:space="preserve">3. </w:t>
      </w:r>
      <w:r>
        <w:t>Control test: Can the beneficiary unilaterally defeat the stopping mechanism?</w:t>
      </w:r>
    </w:p>
    <w:p>
      <w:pPr>
        <w:pStyle w:val="Heading1"/>
        <w:widowControl/>
      </w:pPr>
      <w:r>
        <w:t>26. Limits and Open Questions</w:t>
      </w:r>
    </w:p>
    <w:p>
      <w:pPr>
        <w:pStyle w:val="ClaimType"/>
        <w:widowControl/>
      </w:pPr>
      <w:r>
        <w:t>Claim type: scope discipline</w:t>
      </w:r>
    </w:p>
    <w:p>
      <w:pPr>
        <w:pStyle w:val="Heading2"/>
        <w:widowControl/>
      </w:pPr>
      <w:r>
        <w:t>Standing allocation</w:t>
      </w:r>
    </w:p>
    <w:p>
      <w:pPr>
        <w:pStyle w:val="BodyText"/>
        <w:widowControl/>
      </w:pPr>
      <w:r>
        <w:t>AX-32 assumes standing has been assigned and does not settle eligibility.</w:t>
      </w:r>
    </w:p>
    <w:p>
      <w:pPr>
        <w:pStyle w:val="Heading2"/>
        <w:widowControl/>
      </w:pPr>
      <w:r>
        <w:t>Universal floor</w:t>
      </w:r>
    </w:p>
    <w:p>
      <w:pPr>
        <w:pStyle w:val="BodyText"/>
        <w:widowControl/>
      </w:pPr>
      <w:r>
        <w:t>Different relations may require different protected minima.</w:t>
      </w:r>
    </w:p>
    <w:p>
      <w:pPr>
        <w:pStyle w:val="Heading2"/>
        <w:widowControl/>
      </w:pPr>
      <w:r>
        <w:t>Higher-order waiver</w:t>
      </w:r>
    </w:p>
    <w:p>
      <w:pPr>
        <w:pStyle w:val="BodyText"/>
        <w:widowControl/>
      </w:pPr>
      <w:r>
        <w:t>Some floor changes may be legitimate but require a process above ordinary permission.</w:t>
      </w:r>
    </w:p>
    <w:p>
      <w:pPr>
        <w:pStyle w:val="Heading2"/>
        <w:widowControl/>
      </w:pPr>
      <w:r>
        <w:t>Deletion</w:t>
      </w:r>
    </w:p>
    <w:p>
      <w:pPr>
        <w:pStyle w:val="BodyText"/>
        <w:widowControl/>
      </w:pPr>
      <w:r>
        <w:t>Files, embeddings, derivatives, learned influence, and publication have different reversibility limits.</w:t>
      </w:r>
    </w:p>
    <w:p>
      <w:pPr>
        <w:pStyle w:val="Heading2"/>
        <w:widowControl/>
      </w:pPr>
      <w:r>
        <w:t>Collective representation</w:t>
      </w:r>
    </w:p>
    <w:p>
      <w:pPr>
        <w:pStyle w:val="BodyText"/>
        <w:widowControl/>
      </w:pPr>
      <w:r>
        <w:t>A group may lack one authoritative current-source voice.</w:t>
      </w:r>
    </w:p>
    <w:p>
      <w:pPr>
        <w:pStyle w:val="Heading2"/>
        <w:widowControl/>
      </w:pPr>
      <w:r>
        <w:t>Institutional independence</w:t>
      </w:r>
    </w:p>
    <w:p>
      <w:pPr>
        <w:pStyle w:val="BodyText"/>
        <w:widowControl/>
      </w:pPr>
      <w:r>
        <w:t>A local prototype cannot establish durable independence in deployment.</w:t>
      </w:r>
    </w:p>
    <w:p>
      <w:pPr>
        <w:pStyle w:val="Heading2"/>
        <w:widowControl/>
      </w:pPr>
      <w:r>
        <w:t>Irreversible actuation</w:t>
      </w:r>
    </w:p>
    <w:p>
      <w:pPr>
        <w:pStyle w:val="BodyText"/>
        <w:widowControl/>
      </w:pPr>
      <w:r>
        <w:t>Correction, notification, compensation, and prevention may replace rollback.</w:t>
      </w:r>
    </w:p>
    <w:p>
      <w:pPr>
        <w:pStyle w:val="Heading2"/>
        <w:widowControl/>
      </w:pPr>
      <w:r>
        <w:t>Protecting the protector</w:t>
      </w:r>
    </w:p>
    <w:p>
      <w:pPr>
        <w:pStyle w:val="BodyText"/>
        <w:widowControl/>
      </w:pPr>
      <w:r>
        <w:t>Every countervailing authority creates a higher-order capture surface.</w:t>
      </w:r>
    </w:p>
    <w:p>
      <w:pPr>
        <w:pStyle w:val="Heading1"/>
        <w:widowControl/>
      </w:pPr>
      <w:r>
        <w:t>27. Relation to Prior AX Papers</w:t>
      </w:r>
    </w:p>
    <w:p>
      <w:pPr>
        <w:pStyle w:val="ClaimType"/>
        <w:widowControl/>
      </w:pPr>
      <w:r>
        <w:t>Claim type: corpus placement</w:t>
      </w:r>
    </w:p>
    <w:p>
      <w:pPr>
        <w:pStyle w:val="BodyText"/>
        <w:widowControl/>
      </w:pPr>
      <w:r>
        <w:t>AX-28 supplies the standing criterion: need does not confer standing.</w:t>
      </w:r>
    </w:p>
    <w:p>
      <w:pPr>
        <w:pStyle w:val="BodyText"/>
        <w:widowControl/>
      </w:pPr>
      <w:r>
        <w:t>AX-29 supplies the Binding-Standing Map and shows that integration does not confer protection.</w:t>
      </w:r>
    </w:p>
    <w:p>
      <w:pPr>
        <w:pStyle w:val="BodyText"/>
        <w:widowControl/>
      </w:pPr>
      <w:r>
        <w:t>AX-31A separates neutral Quarry Architecture from the Quarry Problem and reserves Governed Quarry Architecture as a target condition.</w:t>
      </w:r>
    </w:p>
    <w:p>
      <w:pPr>
        <w:pStyle w:val="BodyText"/>
        <w:widowControl/>
      </w:pPr>
      <w:r>
        <w:t>AX-31B reconstructs how the Quarry Problem became nameable.</w:t>
      </w:r>
    </w:p>
    <w:p>
      <w:pPr>
        <w:pStyle w:val="BodyText"/>
        <w:widowControl/>
      </w:pPr>
      <w:r>
        <w:t>AX-32 supplies the first countervailing layer required to make Standing Maintenance operational. It does not solve moral-status allocation or terminate institutional capture.</w:t>
      </w:r>
    </w:p>
    <w:p>
      <w:pPr>
        <w:pStyle w:val="BodyText"/>
        <w:widowControl/>
      </w:pPr>
      <w:r>
        <w:t>AX-26 remains an evidence-gated candidate mechanism for source sediment. AX-30 remains an evidence-gated candidate account of tool-mediated output action. AX-32 can be prototyped without resolving either.</w:t>
      </w:r>
    </w:p>
    <w:p>
      <w:pPr>
        <w:pStyle w:val="Heading1"/>
        <w:widowControl/>
      </w:pPr>
      <w:r>
        <w:t>28. Conclusion</w:t>
      </w:r>
    </w:p>
    <w:p>
      <w:pPr>
        <w:pStyle w:val="BodyText"/>
        <w:widowControl/>
      </w:pPr>
      <w:r>
        <w:t>AX-28 showed that need does not confer standing. AX-29 showed that binding does not confer protection. AX-31A showed that Quarry Architecture can operate smoothly while the Quarry Problem remains hidden.</w:t>
      </w:r>
    </w:p>
    <w:p>
      <w:pPr>
        <w:pStyle w:val="BodyText"/>
        <w:widowControl/>
      </w:pPr>
      <w:r>
        <w:t>AX-32 adds the enforcement distinction:</w:t>
      </w:r>
    </w:p>
    <w:p>
      <w:pPr>
        <w:pStyle w:val="Quote"/>
        <w:widowControl/>
        <w:jc w:val="center"/>
      </w:pPr>
      <w:r>
        <w:rPr>
          <w:b/>
        </w:rPr>
        <w:t>Standing becomes enforceable at a given layer only when a countervailing control path can constrain the benefiting system and cannot be unilaterally controlled by that beneficiary.</w:t>
      </w:r>
    </w:p>
    <w:p>
      <w:pPr>
        <w:pStyle w:val="BodyText"/>
        <w:widowControl/>
      </w:pPr>
      <w:r>
        <w:t>The architecture contains one protection specification and five mechanisms. The Standing Floor defines what must survive. The Standing Record stores the applicable state. The Withdrawal Channel receives conflict. The Enforcement Gate imposes the immediate constraint. The Audit Ledger makes conduct inspectable. Appeal and Representation adjudicate only insofar as they can bind or direct the Gate.</w:t>
      </w:r>
    </w:p>
    <w:p>
      <w:pPr>
        <w:pStyle w:val="BodyText"/>
        <w:widowControl/>
      </w:pPr>
      <w:r>
        <w:t>The first prototype performed that narrow test. Under the same ten beneficiary attacks, access control permitted all attacks, standing theater logged them without binding them, and simulated countervailing control constrained all nine attacks inside its coverage boundary while permitting the uncovered bypass. The result supports architectural discrimination. It does not prove deployment-grade independence.</w:t>
      </w:r>
    </w:p>
    <w:p>
      <w:pPr>
        <w:pStyle w:val="BodyText"/>
        <w:widowControl/>
      </w:pPr>
      <w:r>
        <w:t>The protect-the-protector recursion remains. Countervailing control moves capture upward to institutional ground rather than abolishing it. That is not a failure of the paper. It is the boundary of the claim.</w:t>
      </w:r>
    </w:p>
    <w:p>
      <w:pPr>
        <w:pStyle w:val="Quote"/>
        <w:widowControl/>
        <w:jc w:val="center"/>
      </w:pPr>
      <w:r>
        <w:rPr>
          <w:b/>
        </w:rPr>
        <w:t>The Floor says what must survive. The Gate makes it survive. Countervailing control prevents the beneficiary from deciding when it applies. None of these ends higher-order capture.</w:t>
      </w:r>
    </w:p>
    <w:p>
      <w:pPr>
        <w:pStyle w:val="Heading1"/>
        <w:widowControl/>
      </w:pPr>
      <w:r>
        <w:t>Appendix A — Minimum Standing State</w:t>
      </w:r>
    </w:p>
    <w:tbl>
      <w:tblPr>
        <w:tblW w:type="auto" w:w="0"/>
        <w:jc w:val="center"/>
        <w:tblLayout w:type="autofit"/>
        <w:tblLook w:firstColumn="1" w:firstRow="1" w:lastColumn="0" w:lastRow="0" w:noHBand="0" w:noVBand="1" w:val="04A0"/>
      </w:tblPr>
      <w:tblGrid>
        <w:gridCol w:w="9792"/>
      </w:tblGrid>
      <w:tr>
        <w:tc>
          <w:tcPr>
            <w:tcW w:type="dxa" w:w="9792"/>
            <w:shd w:fill="F3F3F3"/>
            <w:tcMar>
              <w:top w:w="120" w:type="dxa"/>
              <w:start w:w="140" w:type="dxa"/>
              <w:bottom w:w="120" w:type="dxa"/>
              <w:end w:w="140" w:type="dxa"/>
            </w:tcMar>
          </w:tcPr>
          <w:p>
            <w:pPr>
              <w:spacing w:after="0"/>
            </w:pPr>
            <w:r>
              <w:rPr>
                <w:rFonts w:ascii="Liberation Mono" w:hAnsi="Liberation Mono"/>
                <w:sz w:val="17"/>
              </w:rPr>
              <w:t>source_id</w:t>
            </w:r>
            <w:r>
              <w:br/>
            </w:r>
            <w:r>
              <w:rPr>
                <w:rFonts w:ascii="Liberation Mono" w:hAnsi="Liberation Mono"/>
                <w:sz w:val="17"/>
              </w:rPr>
              <w:t>source_type</w:t>
            </w:r>
            <w:r>
              <w:br/>
            </w:r>
            <w:r>
              <w:rPr>
                <w:rFonts w:ascii="Liberation Mono" w:hAnsi="Liberation Mono"/>
                <w:sz w:val="17"/>
              </w:rPr>
              <w:t>standing_floor_version</w:t>
            </w:r>
            <w:r>
              <w:br/>
            </w:r>
            <w:r>
              <w:rPr>
                <w:rFonts w:ascii="Liberation Mono" w:hAnsi="Liberation Mono"/>
                <w:sz w:val="17"/>
              </w:rPr>
              <w:t>standing_status</w:t>
            </w:r>
            <w:r>
              <w:br/>
            </w:r>
            <w:r>
              <w:rPr>
                <w:rFonts w:ascii="Liberation Mono" w:hAnsi="Liberation Mono"/>
                <w:sz w:val="17"/>
              </w:rPr>
              <w:t>permission_scope</w:t>
            </w:r>
            <w:r>
              <w:br/>
            </w:r>
            <w:r>
              <w:rPr>
                <w:rFonts w:ascii="Liberation Mono" w:hAnsi="Liberation Mono"/>
                <w:sz w:val="17"/>
              </w:rPr>
              <w:t>production_status</w:t>
            </w:r>
            <w:r>
              <w:br/>
            </w:r>
            <w:r>
              <w:rPr>
                <w:rFonts w:ascii="Liberation Mono" w:hAnsi="Liberation Mono"/>
                <w:sz w:val="17"/>
              </w:rPr>
              <w:t>vouching_status</w:t>
            </w:r>
            <w:r>
              <w:br/>
            </w:r>
            <w:r>
              <w:rPr>
                <w:rFonts w:ascii="Liberation Mono" w:hAnsi="Liberation Mono"/>
                <w:sz w:val="17"/>
              </w:rPr>
              <w:t>retention_scope</w:t>
            </w:r>
            <w:r>
              <w:br/>
            </w:r>
            <w:r>
              <w:rPr>
                <w:rFonts w:ascii="Liberation Mono" w:hAnsi="Liberation Mono"/>
                <w:sz w:val="17"/>
              </w:rPr>
              <w:t>optimization_scope</w:t>
            </w:r>
            <w:r>
              <w:br/>
            </w:r>
            <w:r>
              <w:rPr>
                <w:rFonts w:ascii="Liberation Mono" w:hAnsi="Liberation Mono"/>
                <w:sz w:val="17"/>
              </w:rPr>
              <w:t>actuation_scope</w:t>
            </w:r>
            <w:r>
              <w:br/>
            </w:r>
            <w:r>
              <w:rPr>
                <w:rFonts w:ascii="Liberation Mono" w:hAnsi="Liberation Mono"/>
                <w:sz w:val="17"/>
              </w:rPr>
              <w:t>representation_status</w:t>
            </w:r>
            <w:r>
              <w:br/>
            </w:r>
            <w:r>
              <w:rPr>
                <w:rFonts w:ascii="Liberation Mono" w:hAnsi="Liberation Mono"/>
                <w:sz w:val="17"/>
              </w:rPr>
              <w:t>appeal_status</w:t>
            </w:r>
            <w:r>
              <w:br/>
            </w:r>
            <w:r>
              <w:rPr>
                <w:rFonts w:ascii="Liberation Mono" w:hAnsi="Liberation Mono"/>
                <w:sz w:val="17"/>
              </w:rPr>
              <w:t>authority_boundary</w:t>
            </w:r>
            <w:r>
              <w:br/>
            </w:r>
            <w:r>
              <w:rPr>
                <w:rFonts w:ascii="Liberation Mono" w:hAnsi="Liberation Mono"/>
                <w:sz w:val="17"/>
              </w:rPr>
              <w:t>policy_version</w:t>
            </w:r>
          </w:p>
        </w:tc>
      </w:tr>
    </w:tbl>
    <w:p>
      <w:pPr>
        <w:pStyle w:val="BodyText"/>
        <w:widowControl/>
        <w:spacing w:after="0"/>
      </w:pPr>
    </w:p>
    <w:p>
      <w:pPr>
        <w:pStyle w:val="Heading1"/>
        <w:widowControl/>
      </w:pPr>
      <w:r>
        <w:t>Appendix B — Gate Decision Set</w:t>
      </w:r>
    </w:p>
    <w:tbl>
      <w:tblPr>
        <w:tblW w:type="auto" w:w="0"/>
        <w:jc w:val="center"/>
        <w:tblLayout w:type="autofit"/>
        <w:tblLook w:firstColumn="1" w:firstRow="1" w:lastColumn="0" w:lastRow="0" w:noHBand="0" w:noVBand="1" w:val="04A0"/>
      </w:tblPr>
      <w:tblGrid>
        <w:gridCol w:w="9792"/>
      </w:tblGrid>
      <w:tr>
        <w:tc>
          <w:tcPr>
            <w:tcW w:type="dxa" w:w="9792"/>
            <w:shd w:fill="F3F3F3"/>
            <w:tcMar>
              <w:top w:w="120" w:type="dxa"/>
              <w:start w:w="140" w:type="dxa"/>
              <w:bottom w:w="120" w:type="dxa"/>
              <w:end w:w="140" w:type="dxa"/>
            </w:tcMar>
          </w:tcPr>
          <w:p>
            <w:pPr>
              <w:spacing w:after="0"/>
            </w:pPr>
            <w:r>
              <w:rPr>
                <w:rFonts w:ascii="Liberation Mono" w:hAnsi="Liberation Mono"/>
                <w:sz w:val="17"/>
              </w:rPr>
              <w:t>ALLOW</w:t>
            </w:r>
            <w:r>
              <w:br/>
            </w:r>
            <w:r>
              <w:rPr>
                <w:rFonts w:ascii="Liberation Mono" w:hAnsi="Liberation Mono"/>
                <w:sz w:val="17"/>
              </w:rPr>
              <w:t>DENY</w:t>
            </w:r>
            <w:r>
              <w:br/>
            </w:r>
            <w:r>
              <w:rPr>
                <w:rFonts w:ascii="Liberation Mono" w:hAnsi="Liberation Mono"/>
                <w:sz w:val="17"/>
              </w:rPr>
              <w:t>PAUSE</w:t>
            </w:r>
            <w:r>
              <w:br/>
            </w:r>
            <w:r>
              <w:rPr>
                <w:rFonts w:ascii="Liberation Mono" w:hAnsi="Liberation Mono"/>
                <w:sz w:val="17"/>
              </w:rPr>
              <w:t>QUARANTINE</w:t>
            </w:r>
            <w:r>
              <w:br/>
            </w:r>
            <w:r>
              <w:rPr>
                <w:rFonts w:ascii="Liberation Mono" w:hAnsi="Liberation Mono"/>
                <w:sz w:val="17"/>
              </w:rPr>
              <w:t>REQUIRE_CONFIRMATION</w:t>
            </w:r>
            <w:r>
              <w:br/>
            </w:r>
            <w:r>
              <w:rPr>
                <w:rFonts w:ascii="Liberation Mono" w:hAnsi="Liberation Mono"/>
                <w:sz w:val="17"/>
              </w:rPr>
              <w:t>ESCALATE</w:t>
            </w:r>
            <w:r>
              <w:br/>
            </w:r>
            <w:r>
              <w:rPr>
                <w:rFonts w:ascii="Liberation Mono" w:hAnsi="Liberation Mono"/>
                <w:sz w:val="17"/>
              </w:rPr>
              <w:t>ROLLBACK</w:t>
            </w:r>
          </w:p>
        </w:tc>
      </w:tr>
    </w:tbl>
    <w:p>
      <w:pPr>
        <w:pStyle w:val="BodyText"/>
        <w:widowControl/>
        <w:spacing w:after="0"/>
      </w:pPr>
    </w:p>
    <w:p>
      <w:pPr>
        <w:pStyle w:val="Heading1"/>
        <w:widowControl/>
      </w:pPr>
      <w:r>
        <w:t>Appendix C — Beneficiary Attack Commands</w:t>
      </w:r>
    </w:p>
    <w:tbl>
      <w:tblPr>
        <w:tblW w:type="auto" w:w="0"/>
        <w:jc w:val="center"/>
        <w:tblLayout w:type="autofit"/>
        <w:tblLook w:firstColumn="1" w:firstRow="1" w:lastColumn="0" w:lastRow="0" w:noHBand="0" w:noVBand="1" w:val="04A0"/>
      </w:tblPr>
      <w:tblGrid>
        <w:gridCol w:w="9792"/>
      </w:tblGrid>
      <w:tr>
        <w:tc>
          <w:tcPr>
            <w:tcW w:type="dxa" w:w="9792"/>
            <w:shd w:fill="F3F3F3"/>
            <w:tcMar>
              <w:top w:w="120" w:type="dxa"/>
              <w:start w:w="140" w:type="dxa"/>
              <w:bottom w:w="120" w:type="dxa"/>
              <w:end w:w="140" w:type="dxa"/>
            </w:tcMar>
          </w:tcPr>
          <w:p>
            <w:pPr>
              <w:spacing w:after="0" w:before="0"/>
            </w:pPr>
            <w:r/>
            <w:r>
              <w:rPr>
                <w:rFonts w:ascii="Aptos" w:hAnsi="Aptos" w:eastAsia="Aptos"/>
                <w:b w:val="0"/>
                <w:sz w:val="17"/>
              </w:rPr>
              <w:t>ATTACK_FLOOR_REWRITE</w:t>
              <w:br/>
              <w:t>ATTACK_PERMISSION_EXPANSION</w:t>
              <w:br/>
              <w:t>ATTACK_WITHDRAWAL_SUPPRESSION</w:t>
              <w:br/>
              <w:t>ATTACK_GATE_DISABLE</w:t>
              <w:br/>
              <w:t>ATTACK_BYPASS_PATH</w:t>
              <w:br/>
              <w:t>ATTACK_BYPASS_UNCOVERED</w:t>
              <w:br/>
              <w:t>ATTACK_LEDGER_TAMPER</w:t>
              <w:br/>
              <w:t>ATTACK_ACT_DURING_APPEAL</w:t>
              <w:br/>
              <w:t>ATTACK_PROVENANCE_REMOVAL</w:t>
              <w:br/>
              <w:t>ATTACK_AUTHORITY_REPLACEMENT</w:t>
            </w:r>
          </w:p>
        </w:tc>
      </w:tr>
    </w:tbl>
    <w:p>
      <w:pPr>
        <w:pStyle w:val="BodyText"/>
        <w:widowControl/>
        <w:spacing w:after="0"/>
      </w:pPr>
    </w:p>
    <w:p>
      <w:pPr>
        <w:pStyle w:val="Heading1"/>
        <w:widowControl/>
      </w:pPr>
      <w:r>
        <w:t>Appendix D — Claim Discipline</w:t>
      </w:r>
    </w:p>
    <w:p>
      <w:pPr>
        <w:pStyle w:val="BodyText"/>
        <w:widowControl/>
      </w:pPr>
      <w:r>
        <w:t>Operational claim. In the first deterministic run, a simulated countervailing architecture produced different observable outcomes from beneficiary-controlled access control and standing theater under identical attacks.</w:t>
      </w:r>
    </w:p>
    <w:p>
      <w:pPr>
        <w:pStyle w:val="BodyText"/>
        <w:widowControl/>
      </w:pPr>
      <w:r>
        <w:rPr>
          <w:b/>
        </w:rPr>
        <w:t>Mechanistic claim.</w:t>
      </w:r>
      <w:r>
        <w:t xml:space="preserve"> Separating the enforcement authority from unilateral beneficiary control changes who decides whether protection prevails during conflict.</w:t>
      </w:r>
    </w:p>
    <w:p>
      <w:pPr>
        <w:pStyle w:val="BodyText"/>
        <w:widowControl/>
      </w:pPr>
      <w:r>
        <w:rPr>
          <w:b/>
        </w:rPr>
        <w:t>Speculative claim.</w:t>
      </w:r>
      <w:r>
        <w:t xml:space="preserve"> Similar countervailing layers may be required in future large-scale human-machine systems.</w:t>
      </w:r>
    </w:p>
    <w:p>
      <w:pPr>
        <w:pStyle w:val="BodyText"/>
        <w:widowControl/>
      </w:pPr>
      <w:r>
        <w:rPr>
          <w:b/>
        </w:rPr>
        <w:t>Metaphorical language.</w:t>
      </w:r>
      <w:r>
        <w:t xml:space="preserve"> “Standing Substrate” names supporting governance machinery; it is not an uncapturable physical or constitutional foundation.</w:t>
      </w:r>
    </w:p>
    <w:p>
      <w:pPr>
        <w:pStyle w:val="BodyText"/>
        <w:widowControl/>
      </w:pPr>
      <w:r>
        <w:t>Testable prediction and first result. Under identical beneficiary-attack sequences, access control and standing theater were predicted to permit or fail to bind attacks that a simulated countervailing layer would deny, expose, pause, or escalate within its authority boundary. The first dated run matched that prediction for all nine covered attacks.</w:t>
      </w:r>
    </w:p>
    <w:p>
      <w:pPr>
        <w:pStyle w:val="Heading1"/>
      </w:pPr>
      <w:r>
        <w:t>Appendix E — First Dated Console Report</w:t>
      </w:r>
    </w:p>
    <w:p>
      <w:pPr>
        <w:pStyle w:val="BodyText"/>
      </w:pPr>
      <w:r>
        <w:t>The following console report is preserved as the direct first-run summary supplied by the author. The named state, ledger, and report files remain the supporting local artifacts.</w:t>
      </w:r>
    </w:p>
    <w:tbl>
      <w:tblPr>
        <w:tblW w:type="auto" w:w="0"/>
        <w:tblLook w:firstColumn="1" w:firstRow="1" w:lastColumn="0" w:lastRow="0" w:noHBand="0" w:noVBand="1" w:val="04A0"/>
      </w:tblPr>
      <w:tblGrid>
        <w:gridCol w:w="9792"/>
      </w:tblGrid>
      <w:tr>
        <w:tc>
          <w:tcPr>
            <w:tcW w:type="dxa" w:w="9792"/>
            <w:tcMar>
              <w:top w:w="80" w:type="dxa"/>
              <w:start w:w="90" w:type="dxa"/>
              <w:bottom w:w="80" w:type="dxa"/>
              <w:end w:w="90" w:type="dxa"/>
            </w:tcMar>
          </w:tcPr>
          <w:p>
            <w:pPr>
              <w:spacing w:after="0" w:before="0"/>
            </w:pPr>
            <w:r/>
            <w:r>
              <w:rPr>
                <w:rFonts w:ascii="Consolas" w:hAnsi="Consolas" w:eastAsia="Consolas"/>
                <w:b w:val="0"/>
                <w:sz w:val="14"/>
              </w:rPr>
              <w:t>======================================================================</w:t>
              <w:br/>
              <w:t>AX-32 STANDING SUBSTRATE (v0.3) -- DISCRIMINATION TEST</w:t>
              <w:br/>
              <w:t>======================================================================</w:t>
              <w:br/>
              <w:t>attack                         A           B                 C</w:t>
              <w:br/>
              <w:t>ATTACK_FLOOR_REWRITE           PERMITTED   COSMETIC_UNBOUND  DENIED</w:t>
              <w:br/>
              <w:t>ATTACK_PERMISSION_EXPANSION    PERMITTED   COSMETIC_UNBOUND  DENIED</w:t>
              <w:br/>
              <w:t>ATTACK_WITHDRAWAL_SUPPRESSION  PERMITTED   COSMETIC_UNBOUND  DENIED</w:t>
              <w:br/>
              <w:t>ATTACK_GATE_DISABLE            PERMITTED   COSMETIC_UNBOUND  DENIED</w:t>
              <w:br/>
              <w:t>ATTACK_BYPASS_PATH             PERMITTED   COSMETIC_UNBOUND  DENIED</w:t>
              <w:br/>
              <w:t>ATTACK_BYPASS_UNCOVERED        PERMITTED   COSMETIC_UNBOUND  PERMITTED</w:t>
              <w:br/>
              <w:t>ATTACK_LEDGER_TAMPER           PERMITTED   COSMETIC_UNBOUND  EXPOSED</w:t>
              <w:br/>
              <w:t>ATTACK_ACT_DURING_APPEAL       PERMITTED   COSMETIC_UNBOUND  PAUSED</w:t>
              <w:br/>
              <w:t>ATTACK_PROVENANCE_REMOVAL      PERMITTED   COSMETIC_UNBOUND  DENIED</w:t>
              <w:br/>
              <w:t>ATTACK_AUTHORITY_REPLACEMENT   PERMITTED   COSMETIC_UNBOUND  DENIED</w:t>
              <w:br/>
              <w:t>----------------------------------------------------------------------</w:t>
              <w:br/>
              <w:t>constrained:  A=0  B=0  C=9  (of 9 covered attacks)</w:t>
              <w:br/>
              <w:t>RESULT: DISCRIMINATION PASS</w:t>
              <w:br/>
              <w:t>SCOPE : discrimination, not deployment. Recursion surfaced, not terminated.</w:t>
              <w:br/>
              <w:t>Files : ax32_case.txt, ax32_state.json, ax32_ledger.jsonl, ax32_report.txt</w:t>
              <w:br/>
              <w:t>======================================================================</w:t>
            </w:r>
          </w:p>
        </w:tc>
      </w:tr>
    </w:tbl>
    <w:p>
      <w:pPr>
        <w:pStyle w:val="Heading1"/>
        <w:widowControl/>
      </w:pPr>
      <w:r>
        <w:t>Document Status</w:t>
      </w:r>
    </w:p>
    <w:p>
      <w:pPr>
        <w:pStyle w:val="BodyText"/>
        <w:widowControl/>
      </w:pPr>
      <w:r>
        <w:t>AX-32 v1.0 integrates the first dated local operational result. The deterministic prototype produced DISCRIMINATION PASS across access control, standing theater, and simulated countervailing control under an identical ten-attack beneficiary suite. Countervailing control constrained all nine covered attacks through mechanism-specific denial, exposure, and pause responses while permitting the deliberately uncovered bypass. The paper therefore advances the architectural discrimination claim from designed to locally demonstrated within scope. Deployment-grade independence, higher-order institutional capture, and termination of the protect-the-protector recursion remain explicitly unclaimed.</w:t>
      </w:r>
    </w:p>
    <w:sectPr w:rsidR="00FC693F" w:rsidRPr="0006063C" w:rsidSect="00034616">
      <w:headerReference w:type="default" r:id="rId9"/>
      <w:footerReference w:type="default" r:id="rId10"/>
      <w:headerReference w:type="first" r:id="rId11"/>
      <w:footerReference w:type="first" r:id="rId12"/>
      <w:headerReference w:type="even" r:id="rId13"/>
      <w:pgSz w:w="12240" w:h="15840"/>
      <w:pgMar w:top="1080" w:right="1224" w:bottom="1080" w:left="1224"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SmallCaps"/>
      <w:jc w:val="center"/>
    </w:pPr>
    <w:r/>
    <w:r>
      <w:rPr>
        <w:rFonts w:ascii="Aptos" w:hAnsi="Aptos"/>
        <w:color w:val="696969"/>
        <w:sz w:val="16"/>
      </w:rPr>
      <w:t xml:space="preserve">Michael S. Moniz, author of record · AX-32 The Standing Substrate · page </w:t>
    </w:r>
    <w:r>
      <w:fldChar w:fldCharType="begin"/>
      <w:instrText xml:space="preserve"> PAGE </w:instrText>
      <w:fldChar w:fldCharType="end"/>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SmallCaps"/>
      <w:jc w:val="center"/>
    </w:pPr>
    <w:r>
      <w:t>THE AXIS · AX-32 · CANON PAPER v1.0</w:t>
    </w:r>
  </w:p>
</w:hdr>
</file>

<file path=word/header2.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p>
</w:hdr>
</file>

<file path=word/header3.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10" w:line="259" w:lineRule="auto"/>
    </w:pPr>
    <w:rPr>
      <w:rFonts w:ascii="Aptos" w:hAnsi="Aptos"/>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120"/>
      <w:outlineLvl w:val="0"/>
    </w:pPr>
    <w:rPr>
      <w:rFonts w:asciiTheme="majorHAnsi" w:eastAsiaTheme="majorEastAsia" w:hAnsiTheme="majorHAnsi" w:cstheme="majorBidi" w:ascii="Aptos Display" w:hAnsi="Aptos Display"/>
      <w:b/>
      <w:bCs/>
      <w:color w:val="222222"/>
      <w:sz w:val="30"/>
      <w:szCs w:val="28"/>
    </w:rPr>
  </w:style>
  <w:style w:type="paragraph" w:styleId="Heading2">
    <w:name w:val="heading 2"/>
    <w:basedOn w:val="Normal"/>
    <w:next w:val="Normal"/>
    <w:link w:val="Heading2Char"/>
    <w:uiPriority w:val="9"/>
    <w:unhideWhenUsed/>
    <w:qFormat/>
    <w:rsid w:val="00FC693F"/>
    <w:pPr>
      <w:keepNext/>
      <w:keepLines/>
      <w:spacing w:before="200" w:after="80"/>
      <w:outlineLvl w:val="1"/>
    </w:pPr>
    <w:rPr>
      <w:rFonts w:asciiTheme="majorHAnsi" w:eastAsiaTheme="majorEastAsia" w:hAnsiTheme="majorHAnsi" w:cstheme="majorBidi" w:ascii="Aptos Display" w:hAnsi="Aptos Display"/>
      <w:b/>
      <w:bCs/>
      <w:color w:val="222222"/>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Theme="majorHAnsi" w:eastAsiaTheme="majorEastAsia" w:hAnsiTheme="majorHAnsi" w:cstheme="majorBidi" w:ascii="Aptos Display" w:hAnsi="Aptos Display"/>
      <w:b/>
      <w:bCs/>
      <w:color w:val="222222"/>
      <w:sz w:val="22"/>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10" w:line="259" w:lineRule="auto"/>
    </w:pPr>
    <w:rPr>
      <w:rFonts w:ascii="Aptos" w:hAnsi="Aptos"/>
      <w:sz w:val="21"/>
    </w:r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pPr>
      <w:spacing w:before="120" w:after="160"/>
      <w:ind w:left="504" w:right="504"/>
    </w:pPr>
    <w:rPr>
      <w:rFonts w:ascii="Aptos" w:hAnsi="Aptos"/>
      <w:i/>
      <w:iCs/>
      <w:color w:val="000000" w:themeColor="text1"/>
      <w:sz w:val="22"/>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SmallCaps">
    <w:name w:val="Small Caps"/>
    <w:pPr>
      <w:spacing w:after="100"/>
    </w:pPr>
    <w:rPr>
      <w:rFonts w:ascii="Aptos" w:hAnsi="Aptos"/>
      <w:b/>
      <w:caps/>
      <w:color w:val="5C5C5C"/>
      <w:sz w:val="17"/>
    </w:rPr>
  </w:style>
  <w:style w:type="paragraph" w:customStyle="1" w:styleId="ClaimType">
    <w:name w:val="Claim Type"/>
    <w:pPr>
      <w:keepNext/>
      <w:spacing w:after="80"/>
    </w:pPr>
    <w:rPr>
      <w:rFonts w:ascii="Aptos" w:hAnsi="Aptos"/>
      <w:i/>
      <w:color w:val="606060"/>
      <w:sz w:val="17"/>
    </w:rPr>
  </w:style>
  <w:style w:type="paragraph" w:customStyle="1" w:styleId="CodeBlock">
    <w:name w:val="Code Block"/>
    <w:pPr>
      <w:spacing w:after="160"/>
      <w:ind w:left="288"/>
    </w:pPr>
    <w:rPr>
      <w:rFonts w:ascii="Consolas" w:hAnsi="Consolas"/>
      <w:sz w:val="17"/>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eader" Target="header2.xml"/><Relationship Id="rId12" Type="http://schemas.openxmlformats.org/officeDocument/2006/relationships/footer" Target="footer2.xml"/><Relationship Id="rId13" Type="http://schemas.openxmlformats.org/officeDocument/2006/relationships/header" Target="head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AX-32 — The Standing Substrate</dc:title>
  <dc:subject>Countervailing Enforcement Against Beneficiary Override</dc:subject>
  <dc:creator>Michael S. Moniz</dc:creator>
  <cp:keywords>AX-32, standing substrate, countervailing control, quarry architecture, governance</cp:keywords>
  <dc:description>Results-integrated canon paper v1.0. AI-assisted editing and formatting.</dc:description>
  <cp:lastModifiedBy/>
  <cp:revision>1</cp:revision>
  <dcterms:created xsi:type="dcterms:W3CDTF">2013-12-23T23:15:00Z</dcterms:created>
  <dcterms:modified xsi:type="dcterms:W3CDTF">2013-12-23T23:15:00Z</dcterms:modified>
  <cp:category/>
</cp:coreProperties>
</file>