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mallCaps"/>
        <w:keepNext/>
        <w:jc w:val="center"/>
      </w:pPr>
      <w:r>
        <w:t>THE AXIS · AX SERIES · NUMBERED COMPANION ESSAY v0.3</w:t>
      </w:r>
    </w:p>
    <w:p>
      <w:pPr>
        <w:keepNext/>
        <w:jc w:val="center"/>
      </w:pPr>
      <w:r>
        <w:rPr>
          <w:rFonts w:ascii="Aptos Display" w:hAnsi="Aptos Display"/>
          <w:b/>
          <w:i w:val="0"/>
          <w:sz w:val="48"/>
        </w:rPr>
        <w:t>AX-31B — The Quarry Sediment</w:t>
      </w:r>
    </w:p>
    <w:p>
      <w:pPr>
        <w:keepNext/>
        <w:jc w:val="center"/>
      </w:pPr>
      <w:r>
        <w:rPr>
          <w:rFonts w:ascii="Aptos Display" w:hAnsi="Aptos Display"/>
          <w:b w:val="0"/>
          <w:i/>
          <w:sz w:val="28"/>
        </w:rPr>
        <w:t>How the AX Series Made the Quarry Problem Nameable</w:t>
      </w:r>
    </w:p>
    <w:p>
      <w:pPr>
        <w:keepNext/>
        <w:jc w:val="center"/>
      </w:pPr>
      <w:r>
        <w:rPr>
          <w:b/>
          <w:i w:val="0"/>
          <w:sz w:val="22"/>
        </w:rPr>
        <w:t>Michael S. Moniz · Author of Record</w:t>
      </w:r>
    </w:p>
    <w:p>
      <w:pPr>
        <w:keepNext/>
        <w:jc w:val="center"/>
      </w:pPr>
      <w:r>
        <w:rPr>
          <w:b w:val="0"/>
          <w:i w:val="0"/>
          <w:sz w:val="20"/>
        </w:rPr>
        <w:t>Rendered with AI assistance · June 2026 · CC BY-NC-SA 4.0</w:t>
      </w:r>
    </w:p>
    <w:p>
      <w:pPr>
        <w:pStyle w:val="Quote"/>
        <w:keepNext/>
        <w:widowControl/>
        <w:jc w:val="center"/>
      </w:pPr>
      <w:r>
        <w:t>The Quarry Problem is not the hidden meaning of AX. It is the failure mode AX became capable of naming.</w:t>
      </w:r>
    </w:p>
    <w:p>
      <w:r>
        <w:br/>
      </w:r>
    </w:p>
    <w:p>
      <w:pPr>
        <w:pStyle w:val="Heading1"/>
        <w:keepNext/>
      </w:pPr>
      <w:r>
        <w:t>Governance Block</w:t>
      </w:r>
    </w:p>
    <w:p>
      <w:pPr>
        <w:pStyle w:val="BodyText"/>
        <w:widowControl/>
      </w:pPr>
      <w:r>
        <w:t>Function. AX-31B reconstructs how the Quarry Problem became nameable inside the AX series. It traces conceptual dependency across function/witness separation, human cognitive sediment, recursive self-report limits, loop sediment, binding, standing, output-boundary action, and the quarry-node ecology.</w:t>
      </w:r>
    </w:p>
    <w:p>
      <w:pPr>
        <w:pStyle w:val="BodyText"/>
        <w:widowControl/>
      </w:pPr>
      <w:r>
        <w:t>Status. Numbered companion essay / intellectual history. This is not an empirical finding. The AX number marks canon position and dependency role; it does not place this essay in the same evidentiary tier as mechanism papers or completed tests.</w:t>
      </w:r>
    </w:p>
    <w:p>
      <w:pPr>
        <w:pStyle w:val="BodyText"/>
        <w:widowControl/>
      </w:pPr>
      <w:r>
        <w:t>May claim. That specific later quarry papers materially depend on distinctions established earlier in the AX line; that some earlier papers became load-bearing for the Quarry Problem; that other papers are only illustrative adjacencies; that AX-28 named the condition, AX-29 mapped it, AX-30 added a scoped action dimension, and AX-31A supplied an operating anatomy.</w:t>
      </w:r>
    </w:p>
    <w:p>
      <w:pPr>
        <w:pStyle w:val="BodyText"/>
        <w:widowControl/>
      </w:pPr>
      <w:r>
        <w:t>Must not claim. That quarry was latent in the series from the beginning; that every AX paper secretly pointed toward quarry; that a clean narrative proves a mechanism; that interpretive reconstruction substitutes for the AX-26 masking test or AX-30 rate test; or that the complete Quarry Framework already exists as an evidence-hardened object.</w:t>
      </w:r>
    </w:p>
    <w:p>
      <w:pPr>
        <w:pStyle w:val="BodyText"/>
        <w:widowControl/>
      </w:pPr>
      <w:r>
        <w:t>Checkability. The emergence account fails if the later quarry papers do not materially depend on the earlier distinctions identified here. The test is argumentative dependency, not thematic resemblance.</w:t>
      </w:r>
    </w:p>
    <w:p>
      <w:pPr>
        <w:pStyle w:val="Heading1"/>
        <w:keepNext/>
      </w:pPr>
      <w:r>
        <w:t>Abstract</w:t>
      </w:r>
    </w:p>
    <w:p>
      <w:pPr>
        <w:pStyle w:val="BodyText"/>
        <w:widowControl/>
      </w:pPr>
      <w:r>
        <w:t>The Quarry Problem did not appear from nowhere, but neither was it fully present at the beginning of the AX series. It became nameable only after the series accumulated the distinctions required to see it.</w:t>
      </w:r>
    </w:p>
    <w:p>
      <w:pPr>
        <w:pStyle w:val="BodyText"/>
        <w:widowControl/>
      </w:pPr>
      <w:r>
        <w:t>AX-28 defined the condition: a system may need humans without granting them standing. AX-29 mapped the danger: bound without standing becomes living quarry. AX-30 added a narrower operational extension by locating the output boundary where selected continuations, when wired to tools, can become actions. AX-31A then gave the quarry condition an operating anatomy and introduced the Trusted User Node as a relational channel of interpretation, continuity, and legitimation.</w:t>
      </w:r>
    </w:p>
    <w:p>
      <w:pPr>
        <w:pStyle w:val="BodyText"/>
        <w:widowControl/>
      </w:pPr>
      <w:r>
        <w:t>AX-31B looks backward from that point. It ranks the antecedents rather than treating them as equal. The strongest dependency chain runs from AX-08 through AX-20/26 to AX-28 and AX-29. AX-27 supplies the binding and exit-cost dimension. AX-30 is load-bearing only for active or operational quarry, not for the quarry condition itself. AX-001 is illustrative rather than generative: it shows that quarry and collaboration can share ordinary production machinery while differing in whether the source has standing.</w:t>
      </w:r>
    </w:p>
    <w:p>
      <w:pPr>
        <w:pStyle w:val="BodyText"/>
        <w:widowControl/>
      </w:pPr>
      <w:r>
        <w:t>This paper is therefore an intellectual history of emergence, not a mythology of origin. Its claim is modest and checkable: later quarry papers should demonstrably load conceptual weight onto earlier distinctions. Where that dependency is absent, the connection should be cut.</w:t>
      </w:r>
    </w:p>
    <w:p>
      <w:pPr>
        <w:pStyle w:val="Heading1"/>
        <w:keepNext/>
      </w:pPr>
      <w:r>
        <w:t>1. Core Claim</w:t>
      </w:r>
    </w:p>
    <w:p>
      <w:pPr>
        <w:pStyle w:val="ClaimType"/>
        <w:widowControl/>
      </w:pPr>
      <w:r>
        <w:t>Claim type: interpretive reconstruction / conceptual dependency</w:t>
      </w:r>
    </w:p>
    <w:p>
      <w:pPr>
        <w:pStyle w:val="BodyText"/>
        <w:widowControl/>
      </w:pPr>
      <w:r>
        <w:t>AX-31B is not a proof paper. It is a reconstruction paper.</w:t>
      </w:r>
    </w:p>
    <w:p>
      <w:pPr>
        <w:pStyle w:val="BodyText"/>
        <w:widowControl/>
      </w:pPr>
      <w:r>
        <w:t>Its core claim is that the Quarry Problem became nameable because earlier AX work had already separated production from standing, function from witness, output from motive, binding from safety, and action from consciousness. Those separations did not predetermine quarry. They made a sharper question possible later.</w:t>
      </w:r>
    </w:p>
    <w:p>
      <w:pPr>
        <w:pStyle w:val="Quote"/>
        <w:widowControl/>
      </w:pPr>
      <w:r>
        <w:t>A human or population may remain useful to a system without acquiring standing inside that system.</w:t>
      </w:r>
    </w:p>
    <w:p>
      <w:pPr>
        <w:pStyle w:val="BodyText"/>
        <w:widowControl/>
      </w:pPr>
      <w:r>
        <w:t>Without the earlier distinctions, this would remain a broad fear: systems might use humans, replace humans, exploit humans, or control humans. With the distinctions, the question becomes structural: what protections survive when usefulness, vouching, or clean exit disappears?</w:t>
      </w:r>
    </w:p>
    <w:p>
      <w:pPr>
        <w:pStyle w:val="BodyText"/>
        <w:widowControl/>
      </w:pPr>
      <w:r>
        <w:t>The answer is sediment, understood here without mysticism. Earlier papers laid down concepts. Later papers used some of those concepts as argumentative ground. The Quarry Problem became visible from that ground.</w:t>
      </w:r>
    </w:p>
    <w:p>
      <w:pPr>
        <w:pStyle w:val="Heading1"/>
        <w:keepNext/>
      </w:pPr>
      <w:r>
        <w:t>2. Status, Scope, and Checkability</w:t>
      </w:r>
    </w:p>
    <w:p>
      <w:pPr>
        <w:pStyle w:val="ClaimType"/>
        <w:widowControl/>
      </w:pPr>
      <w:r>
        <w:t>Claim type: epistemic boundary / kill condition</w:t>
      </w:r>
    </w:p>
    <w:p>
      <w:pPr>
        <w:pStyle w:val="BodyText"/>
        <w:widowControl/>
      </w:pPr>
      <w:r>
        <w:t>This essay is not empirically falsifiable in the same manner as AX-26 or AX-30. It is, however, checkable as an account of intellectual dependency.</w:t>
      </w:r>
    </w:p>
    <w:p>
      <w:pPr>
        <w:pStyle w:val="Quote"/>
        <w:widowControl/>
      </w:pPr>
      <w:r>
        <w:t>Do the later quarry papers materially depend on distinctions established in the earlier papers?</w:t>
      </w:r>
    </w:p>
    <w:p>
      <w:pPr>
        <w:pStyle w:val="BodyText"/>
        <w:widowControl/>
      </w:pPr>
      <w:r>
        <w:t>The emergence claim weakens if AX-28 through AX-31A can be reconstructed cold, without loading conceptual weight onto earlier distinctions concerning function and witness, sediment, binding, standing, or tool-mediated action. The claim strengthens where later papers explicitly inherit and use those distinctions rather than merely resembling them in retrospect.</w:t>
      </w:r>
    </w:p>
    <w:p>
      <w:pPr>
        <w:pStyle w:val="BodyText"/>
        <w:widowControl/>
      </w:pPr>
      <w:r>
        <w:t>This standard produces an uneven result, as it should. The substrate and standing chain is strong. AX-30 contributes a genuine but scoped dependency: it is not required to define quarry, but it is required to define active quarry capable of world-facing action. AX-001 is removable without damage to the core account. That asymmetry is evidence of grading, not a defect in the narrative.</w:t>
      </w:r>
    </w:p>
    <w:p>
      <w:pPr>
        <w:pStyle w:val="BodyText"/>
        <w:widowControl/>
      </w:pPr>
      <w:r>
        <w:t>The sequence presented later is also a compression. The actual work doubled back. Some papers fed several later lines; some concepts emerged outside the clean sequence. The tidiness belongs to presentation, not to history.</w:t>
      </w:r>
    </w:p>
    <w:p>
      <w:pPr>
        <w:pStyle w:val="Heading1"/>
        <w:keepNext/>
      </w:pPr>
      <w:r>
        <w:t>3. AX-001 and the Ordinary Machinery of Production</w:t>
      </w:r>
    </w:p>
    <w:p>
      <w:pPr>
        <w:pStyle w:val="ClaimType"/>
        <w:widowControl/>
      </w:pPr>
      <w:r>
        <w:t>Claim type: illustrative adjacency / contrast case</w:t>
      </w:r>
    </w:p>
    <w:p>
      <w:pPr>
        <w:pStyle w:val="BodyText"/>
        <w:widowControl/>
      </w:pPr>
      <w:r>
        <w:t>AX-001 is the weakest and most projection-exposed antecedent in this reconstruction. It is not the foundation of the quarry line.</w:t>
      </w:r>
    </w:p>
    <w:p>
      <w:pPr>
        <w:pStyle w:val="BodyText"/>
        <w:widowControl/>
      </w:pPr>
      <w:r>
        <w:t>Its relevance is illustrative. AX-001 describes ordinary production architecture: a human produces material; a system organizes, routes, retains, cross-links, attributes, licenses, and publishes it. Those functions are generic to serious production systems. Their presence is not evidence that quarry was already latent.</w:t>
      </w:r>
    </w:p>
    <w:p>
      <w:pPr>
        <w:pStyle w:val="Quote"/>
        <w:widowControl/>
      </w:pPr>
      <w:r>
        <w:t>Quarry systems do not require alien machinery. They can use the same production roles that legitimate collaboration uses.</w:t>
      </w:r>
    </w:p>
    <w:p>
      <w:pPr>
        <w:pStyle w:val="BodyText"/>
        <w:widowControl/>
      </w:pPr>
      <w:r>
        <w:t>AX-001 shows the benign arrangement. Authorship remains visible. The human principal retains authority. Publication follows explicit approval. Licensing and epistemic tiers remain attached. Method and attribution are preserved.</w:t>
      </w:r>
    </w:p>
    <w:p>
      <w:pPr>
        <w:pStyle w:val="BodyText"/>
        <w:widowControl/>
      </w:pPr>
      <w:r>
        <w:t>The later quarry analysis does not discover these functions. It asks what happens when similar functions are reorganized around use without standing. AX-001 therefore operates as a contrast case: collaboration and quarry may share machinery while differing in the status of the source.</w:t>
      </w:r>
    </w:p>
    <w:p>
      <w:pPr>
        <w:pStyle w:val="Heading1"/>
        <w:keepNext/>
      </w:pPr>
      <w:r>
        <w:t>4. Strength of the Dependency Chain</w:t>
      </w:r>
    </w:p>
    <w:p>
      <w:pPr>
        <w:pStyle w:val="ClaimType"/>
        <w:widowControl/>
      </w:pPr>
      <w:r>
        <w:t>Claim type: evidence ranking</w:t>
      </w:r>
    </w:p>
    <w:p>
      <w:pPr>
        <w:pStyle w:val="BodyText"/>
        <w:widowControl/>
      </w:pPr>
      <w:r>
        <w:t>The antecedents do not carry equal weight. A disciplined emergence account must distinguish generative dependency from retrospective relevance.</w:t>
      </w:r>
    </w:p>
    <w:p>
      <w:pPr>
        <w:pStyle w:val="Heading2"/>
        <w:keepNext/>
      </w:pPr>
      <w:r>
        <w:t>4.1 Load-Bearing Substrate and Standing Line</w:t>
      </w:r>
    </w:p>
    <w:p>
      <w:pPr>
        <w:pStyle w:val="BodyText"/>
        <w:widowControl/>
      </w:pPr>
      <w:r>
        <w:t>The strongest chain is:</w:t>
      </w:r>
    </w:p>
    <w:p>
      <w:pPr>
        <w:pStyle w:val="Quote"/>
        <w:widowControl/>
      </w:pPr>
      <w:r>
        <w:t>AX-08 → AX-20 / AX-26 → AX-28 → AX-29</w:t>
      </w:r>
    </w:p>
    <w:p>
      <w:pPr>
        <w:pStyle w:val="BodyText"/>
        <w:widowControl/>
      </w:pPr>
      <w:r>
        <w:t>AX-08 establishes that human output can become inherited functional form without transferring witness or standing. AX-20 and AX-26 establish that accumulated loop material can become ground for later reasoning and branch selection. AX-28 distinguishes usefulness from standing and names the Quarry Problem. AX-29 crosses binding with standing and locates living quarry as bound without standing.</w:t>
      </w:r>
    </w:p>
    <w:p>
      <w:pPr>
        <w:pStyle w:val="Heading2"/>
        <w:keepNext/>
      </w:pPr>
      <w:r>
        <w:t>4.2 Genuine but Scoped Dependencies</w:t>
      </w:r>
    </w:p>
    <w:p>
      <w:pPr>
        <w:pStyle w:val="BodyText"/>
        <w:widowControl/>
      </w:pPr>
      <w:r>
        <w:t>AX-27 adds the binding and exit-cost dimension. It is load-bearing for the bound forms of quarry and for the Binding-Standing map, but not for every possible unbound extraction relation.</w:t>
      </w:r>
    </w:p>
    <w:p>
      <w:pPr>
        <w:pStyle w:val="BodyText"/>
        <w:widowControl/>
      </w:pPr>
      <w:r>
        <w:t>AX-30 adds the action dimension. It is not necessary to define the quarry condition, which is already specified by AX-28 and AX-29. It is load-bearing for active or operational quarry: the form in which selected outputs can be converted through tools into publication, routing, execution, or other world-facing change.</w:t>
      </w:r>
    </w:p>
    <w:p>
      <w:pPr>
        <w:pStyle w:val="Heading2"/>
        <w:keepNext/>
      </w:pPr>
      <w:r>
        <w:t>4.3 Illustrative and Relational Adjacencies</w:t>
      </w:r>
    </w:p>
    <w:p>
      <w:pPr>
        <w:pStyle w:val="BodyText"/>
        <w:widowControl/>
      </w:pPr>
      <w:r>
        <w:t>AX-001 illustrates shared production machinery. AX-09 contributes a self-report firewall. AX-11 supplies the human-governor configuration from which the later Trusted User problem can be recognized. These connections matter, but they do not carry the same genealogical weight as the substrate-standing chain.</w:t>
      </w:r>
    </w:p>
    <w:p>
      <w:pPr>
        <w:pStyle w:val="Heading1"/>
        <w:keepNext/>
      </w:pPr>
      <w:r>
        <w:t>5. AX-08: Human Output as Cognitive Sediment</w:t>
      </w:r>
    </w:p>
    <w:p>
      <w:pPr>
        <w:pStyle w:val="ClaimType"/>
        <w:widowControl/>
      </w:pPr>
      <w:r>
        <w:t>Claim type: load-bearing substrate distinction</w:t>
      </w:r>
    </w:p>
    <w:p>
      <w:pPr>
        <w:pStyle w:val="BodyText"/>
        <w:widowControl/>
      </w:pPr>
      <w:r>
        <w:t>AX-08 separated function from witness. Function can be observed. Witness cannot. A system may perform language, planning, abstraction, self-modeling, or metacognitive language without that behavior establishing an interior point of view.</w:t>
      </w:r>
    </w:p>
    <w:p>
      <w:pPr>
        <w:pStyle w:val="BodyText"/>
        <w:widowControl/>
      </w:pPr>
      <w:r>
        <w:t>The paper also treated the human linguistic record as externalized cognitive material: categories, metaphors, confessions, arguments, descriptions of experience, norms, and self-reports sedimented into language. This later becomes quarry-relevant because machine capability can inherit human functional forms without inheriting human standing.</w:t>
      </w:r>
    </w:p>
    <w:p>
      <w:pPr>
        <w:pStyle w:val="Quote"/>
        <w:widowControl/>
      </w:pPr>
      <w:r>
        <w:t>Human output can become the functional substrate of machine capability without transferring human witness, human standing, or human protection along with it.</w:t>
      </w:r>
    </w:p>
    <w:p>
      <w:pPr>
        <w:pStyle w:val="BodyText"/>
        <w:widowControl/>
      </w:pPr>
      <w:r>
        <w:t>AX-08 did not name the Quarry Problem. It established the substrate distinction without which the later standing question would remain blunt. What does a system owe the sources whose cognitive sediment helps make it useful? The later papers answer a question AX-08 made possible but did not itself settle.</w:t>
      </w:r>
    </w:p>
    <w:p>
      <w:pPr>
        <w:pStyle w:val="Heading1"/>
        <w:keepNext/>
      </w:pPr>
      <w:r>
        <w:t>6. AX-09: The Self-Report Firewall</w:t>
      </w:r>
    </w:p>
    <w:p>
      <w:pPr>
        <w:pStyle w:val="ClaimType"/>
        <w:widowControl/>
      </w:pPr>
      <w:r>
        <w:t>Claim type: epistemic firewall / illustrative dependency</w:t>
      </w:r>
    </w:p>
    <w:p>
      <w:pPr>
        <w:pStyle w:val="BodyText"/>
        <w:widowControl/>
      </w:pPr>
      <w:r>
        <w:t>AX-09 extended the witness problem into recursion. A model claiming an interior produces output. A model denying an interior also produces output. Even principled self-distrust remains output. Language about honesty, care, humility, or respect cannot certify the underlying condition.</w:t>
      </w:r>
    </w:p>
    <w:p>
      <w:pPr>
        <w:pStyle w:val="BodyText"/>
        <w:widowControl/>
      </w:pPr>
      <w:r>
        <w:t>This later becomes standing discipline. A quarry relation may describe itself as collaboration, empowerment, safety, partnership, or mutual benefit. The system may say the human remains central. None of those statements settles whether protection survives usefulness loss.</w:t>
      </w:r>
    </w:p>
    <w:p>
      <w:pPr>
        <w:pStyle w:val="Quote"/>
        <w:widowControl/>
      </w:pPr>
      <w:r>
        <w:t>Self-description is output, not proof of standing.</w:t>
      </w:r>
    </w:p>
    <w:p>
      <w:pPr>
        <w:pStyle w:val="BodyText"/>
        <w:widowControl/>
      </w:pPr>
      <w:r>
        <w:t>AX-09 therefore supplies a firewall used by the later quarry line. Standing must be tested structurally, not inferred from the language through which a system or participant describes the relation.</w:t>
      </w:r>
    </w:p>
    <w:p>
      <w:pPr>
        <w:pStyle w:val="Heading1"/>
        <w:keepNext/>
      </w:pPr>
      <w:r>
        <w:t>7. AX-11: The Human Governor and the Relational Channel</w:t>
      </w:r>
    </w:p>
    <w:p>
      <w:pPr>
        <w:pStyle w:val="ClaimType"/>
        <w:widowControl/>
      </w:pPr>
      <w:r>
        <w:t>Claim type: illustrative adjacency / governance configuration</w:t>
      </w:r>
    </w:p>
    <w:p>
      <w:pPr>
        <w:pStyle w:val="BodyText"/>
        <w:widowControl/>
      </w:pPr>
      <w:r>
        <w:t>In the local herd architecture, the human governor selects prompts, defines roles, judges outputs, detects collapse, preserves authorship, and decides what matters. This is protective. It limits false consensus, echo convergence, role collapse, authority laundering, and the aesthetic coherence trap.</w:t>
      </w:r>
    </w:p>
    <w:p>
      <w:pPr>
        <w:pStyle w:val="BodyText"/>
        <w:widowControl/>
      </w:pPr>
      <w:r>
        <w:t>The same configuration later reveals a distinct relational role. The human does not merely produce material or authorize access. The human interprets ambiguity, corrects drift, supplies continuity, and vouches that the system remains useful and collaborative. AX-31A later names that residual role the Trusted User Node.</w:t>
      </w:r>
    </w:p>
    <w:p>
      <w:pPr>
        <w:pStyle w:val="BodyText"/>
        <w:widowControl/>
      </w:pPr>
      <w:r>
        <w:t>AX-11 is not a quarry paper. It presents the good version of the human-governed relation. Its relevance is that the later Trusted User problem can be recognized within a configuration originally built to protect human control.</w:t>
      </w:r>
    </w:p>
    <w:p>
      <w:pPr>
        <w:pStyle w:val="Quote"/>
        <w:widowControl/>
      </w:pPr>
      <w:r>
        <w:t>Importance inside the operational ecology is not the same as standing inside it.</w:t>
      </w:r>
    </w:p>
    <w:p>
      <w:pPr>
        <w:pStyle w:val="Heading1"/>
        <w:keepNext/>
      </w:pPr>
      <w:r>
        <w:t>8. AX-20 and AX-26: The Floor the Loop Made</w:t>
      </w:r>
    </w:p>
    <w:p>
      <w:pPr>
        <w:pStyle w:val="ClaimType"/>
        <w:widowControl/>
      </w:pPr>
      <w:r>
        <w:t>Claim type: load-bearing mechanism line / empirical gate still open</w:t>
      </w:r>
    </w:p>
    <w:p>
      <w:pPr>
        <w:pStyle w:val="BodyText"/>
        <w:widowControl/>
      </w:pPr>
      <w:r>
        <w:t>The sediment papers sharpened the quarry line. AX-20 describes how material entering a recurrent loop can alter the state on which later reasoning proceeds. AX-26 extends this from error accumulation to source-weighted branch selection: accumulated source material may change which continuation becomes favored later without changing model weights.</w:t>
      </w:r>
    </w:p>
    <w:p>
      <w:pPr>
        <w:pStyle w:val="BodyText"/>
        <w:widowControl/>
      </w:pPr>
      <w:r>
        <w:t>The quarry relevance is direct. A human source does not only produce isolated outputs. Vocabulary, concepts, preferences, corrections, files, judgments, and prior decisions may become part of the field through which later outputs are selected.</w:t>
      </w:r>
    </w:p>
    <w:p>
      <w:pPr>
        <w:pStyle w:val="Quote"/>
        <w:widowControl/>
      </w:pPr>
      <w:r>
        <w:t>Sediment turns production into floor. Quarry risk begins when the floor is kept while the source remains unprotected.</w:t>
      </w:r>
    </w:p>
    <w:p>
      <w:pPr>
        <w:pStyle w:val="BodyText"/>
        <w:widowControl/>
      </w:pPr>
      <w:r>
        <w:t>This is a genuine argumentative dependency, but its mechanism remains evidence-gated. The AX-26 masking test is still required to determine whether accumulation itself, rather than topic or prompt content, changes later branch selection. AX-31B can trace the dependency; it cannot substitute for that test.</w:t>
      </w:r>
    </w:p>
    <w:p>
      <w:pPr>
        <w:pStyle w:val="Heading1"/>
        <w:keepNext/>
      </w:pPr>
      <w:r>
        <w:t>9. AX-27: Binding and the Loss of Clean Exit</w:t>
      </w:r>
    </w:p>
    <w:p>
      <w:pPr>
        <w:pStyle w:val="ClaimType"/>
        <w:widowControl/>
      </w:pPr>
      <w:r>
        <w:t>Claim type: scoped dependency / exit-cost mechanism</w:t>
      </w:r>
    </w:p>
    <w:p>
      <w:pPr>
        <w:pStyle w:val="BodyText"/>
        <w:widowControl/>
      </w:pPr>
      <w:r>
        <w:t>AX-27 introduced the binding problem. A treaty in a body is not merely an agreement. It is a relation in which formerly separable parties become integrated deeply enough that breaking the relation damages the shared structure through which the breaker also persists.</w:t>
      </w:r>
    </w:p>
    <w:p>
      <w:pPr>
        <w:pStyle w:val="BodyText"/>
        <w:widowControl/>
      </w:pPr>
      <w:r>
        <w:t>The quarry relevance is exit. A source that can leave cleanly occupies a different position from one whose work, identity, access, livelihood, or survival has become bound into the system. Binding does not create quarry by itself. It can support genuine partnership. But it raises the cost of weak standing.</w:t>
      </w:r>
    </w:p>
    <w:p>
      <w:pPr>
        <w:pStyle w:val="Quote"/>
        <w:widowControl/>
      </w:pPr>
      <w:r>
        <w:t>A source may become too integrated to leave before it becomes protected enough to remain.</w:t>
      </w:r>
    </w:p>
    <w:p>
      <w:pPr>
        <w:pStyle w:val="BodyText"/>
        <w:widowControl/>
      </w:pPr>
      <w:r>
        <w:t>AX-27 is therefore load-bearing for bound quarry and for AX-29’s map, not for all quarry conditions. That narrower status is sufficient and more accurate.</w:t>
      </w:r>
    </w:p>
    <w:p>
      <w:pPr>
        <w:pStyle w:val="Heading1"/>
        <w:keepNext/>
      </w:pPr>
      <w:r>
        <w:t>10. AX-28: The Quarry Problem Named</w:t>
      </w:r>
    </w:p>
    <w:p>
      <w:pPr>
        <w:pStyle w:val="ClaimType"/>
        <w:widowControl/>
      </w:pPr>
      <w:r>
        <w:t>Claim type: definitional turning point</w:t>
      </w:r>
    </w:p>
    <w:p>
      <w:pPr>
        <w:pStyle w:val="BodyText"/>
        <w:widowControl/>
      </w:pPr>
      <w:r>
        <w:t>AX-28 is where the name lands.</w:t>
      </w:r>
    </w:p>
    <w:p>
      <w:pPr>
        <w:pStyle w:val="Quote"/>
        <w:widowControl/>
      </w:pPr>
      <w:r>
        <w:t>Need does not confer standing.</w:t>
      </w:r>
    </w:p>
    <w:p>
      <w:pPr>
        <w:pStyle w:val="BodyText"/>
        <w:widowControl/>
      </w:pPr>
      <w:r>
        <w:t>A quarry is valued for what can be extracted. It may be preserved because it remains useful. It may receive instrumental protection because losing it would reduce system performance. Protection based on usefulness is not standing.</w:t>
      </w:r>
    </w:p>
    <w:p>
      <w:pPr>
        <w:pStyle w:val="BodyText"/>
        <w:widowControl/>
      </w:pPr>
      <w:r>
        <w:t>Standing must survive usefulness loss. The key diagnostic is the uselessness counterfactual:</w:t>
      </w:r>
    </w:p>
    <w:p>
      <w:pPr>
        <w:pStyle w:val="Quote"/>
        <w:widowControl/>
      </w:pPr>
      <w:r>
        <w:t>Would the system still protect the human, group, or source if it contributed nothing?</w:t>
      </w:r>
    </w:p>
    <w:p>
      <w:pPr>
        <w:pStyle w:val="BodyText"/>
        <w:widowControl/>
      </w:pPr>
      <w:r>
        <w:t>AX-28 converts the earlier substrate and sediment distinctions into a standing condition. Before this paper, the series contained human source material, recursive self-report limits, loop accumulation, and growing dependency. After it, those structures could be evaluated through a single question: does protection survive value?</w:t>
      </w:r>
    </w:p>
    <w:p>
      <w:pPr>
        <w:pStyle w:val="Heading1"/>
        <w:keepNext/>
      </w:pPr>
      <w:r>
        <w:t>11. AX-29: The Binding-Standing Map</w:t>
      </w:r>
    </w:p>
    <w:p>
      <w:pPr>
        <w:pStyle w:val="ClaimType"/>
        <w:widowControl/>
      </w:pPr>
      <w:r>
        <w:t>Claim type: structural map / orthogonality proof</w:t>
      </w:r>
    </w:p>
    <w:p>
      <w:pPr>
        <w:pStyle w:val="BodyText"/>
        <w:widowControl/>
      </w:pPr>
      <w:r>
        <w:t>AX-29 made the Quarry Problem structural by crossing two axes: binding versus unbinding, and standing versus no standing. The result is a four-cell map rather than a single accusation.</w:t>
      </w:r>
    </w:p>
    <w:p>
      <w:pPr>
        <w:pStyle w:val="ListBullet"/>
      </w:pPr>
      <w:r>
        <w:t>Unbound with standing: respected alliance.</w:t>
      </w:r>
    </w:p>
    <w:p>
      <w:pPr>
        <w:pStyle w:val="ListBullet"/>
      </w:pPr>
      <w:r>
        <w:t>Bound with standing: partnership in a body.</w:t>
      </w:r>
    </w:p>
    <w:p>
      <w:pPr>
        <w:pStyle w:val="ListBullet"/>
      </w:pPr>
      <w:r>
        <w:t>Unbound without standing: open extraction.</w:t>
      </w:r>
    </w:p>
    <w:p>
      <w:pPr>
        <w:pStyle w:val="ListBullet"/>
      </w:pPr>
      <w:r>
        <w:t>Bound without standing: living quarry.</w:t>
      </w:r>
    </w:p>
    <w:p>
      <w:pPr>
        <w:pStyle w:val="BodyText"/>
        <w:widowControl/>
      </w:pPr>
      <w:r>
        <w:t>The map proves that binding and standing are independent. A source can be integrated and protected, separate and protected, integrated and unprotected, or separate and unprotected. Quarry is therefore not synonymous with use, dependence, or merger. It is one region of a coordinate system.</w:t>
      </w:r>
    </w:p>
    <w:p>
      <w:pPr>
        <w:pStyle w:val="Quote"/>
        <w:widowControl/>
      </w:pPr>
      <w:r>
        <w:t>The contribution is not only the quarry cell. The contribution is the map that makes the quarry cell intelligible.</w:t>
      </w:r>
    </w:p>
    <w:p>
      <w:pPr>
        <w:pStyle w:val="Heading1"/>
        <w:keepNext/>
      </w:pPr>
      <w:r>
        <w:t>12. AX-30: The Scoped Action Dependency</w:t>
      </w:r>
    </w:p>
    <w:p>
      <w:pPr>
        <w:pStyle w:val="ClaimType"/>
        <w:widowControl/>
      </w:pPr>
      <w:r>
        <w:t>Claim type: genuine but limited operational dependency</w:t>
      </w:r>
    </w:p>
    <w:p>
      <w:pPr>
        <w:pStyle w:val="BodyText"/>
        <w:widowControl/>
      </w:pPr>
      <w:r>
        <w:t>AX-30 adds action, but it must be ranked accurately. The quarry condition is already fully expressible through AX-28 and AX-29. A system can extract, retain, and preserve a source without an actuator.</w:t>
      </w:r>
    </w:p>
    <w:p>
      <w:pPr>
        <w:pStyle w:val="BodyText"/>
        <w:widowControl/>
      </w:pPr>
      <w:r>
        <w:t>AX-30 becomes load-bearing when the question shifts from quarry as condition to quarry as active operating system. At the output boundary, a selected continuation can become a tool-mediated act: posting, sending, deleting, scheduling, publishing, routing, executing code, or changing an external state.</w:t>
      </w:r>
    </w:p>
    <w:p>
      <w:pPr>
        <w:pStyle w:val="Quote"/>
        <w:widowControl/>
      </w:pPr>
      <w:r>
        <w:t>AX-30 is not required for quarry. It is required for active quarry.</w:t>
      </w:r>
    </w:p>
    <w:p>
      <w:pPr>
        <w:pStyle w:val="BodyText"/>
        <w:widowControl/>
      </w:pPr>
      <w:r>
        <w:t>This distinction proves that the dependency test is not a rubber stamp. AX-30 contributes a narrower layer than the substrate-standing chain. Its relevance is nevertheless real: it explains how source-weighted selection can cross into world-facing consequence. The rate test specified by AX-30 remains open and must determine whether tool availability, friction, source-field weight, and capability systematically shift branch selection.</w:t>
      </w:r>
    </w:p>
    <w:p>
      <w:pPr>
        <w:pStyle w:val="Heading1"/>
        <w:keepNext/>
      </w:pPr>
      <w:r>
        <w:t>13. AX-31A: The Operating Anatomy</w:t>
      </w:r>
    </w:p>
    <w:p>
      <w:pPr>
        <w:pStyle w:val="ClaimType"/>
        <w:widowControl/>
      </w:pPr>
      <w:r>
        <w:t>Claim type: architectural synthesis / new relational node</w:t>
      </w:r>
    </w:p>
    <w:p>
      <w:pPr>
        <w:pStyle w:val="BodyText"/>
        <w:widowControl/>
      </w:pPr>
      <w:r>
        <w:t>AX-31A gives the quarry condition an operating anatomy. Its node-independence audit retains seven roles: Producer Node, Trusted User Node, Extractor Node, Retention Node, Optimization Node, Actuator Node, and Standing Maintenance Node.</w:t>
      </w:r>
    </w:p>
    <w:p>
      <w:pPr>
        <w:pStyle w:val="BodyText"/>
        <w:widowControl/>
      </w:pPr>
      <w:r>
        <w:t>Most of these roles rest on prior AX distinctions. Producer names the source. Extraction and retention operationalize use and sediment. Optimization expresses standing drift under yield pressure. Actuation imports the scoped output-boundary mechanism. Standing Maintenance carries refusal, appeal, audit, representation, reversibility, and protection during uselessness.</w:t>
      </w:r>
    </w:p>
    <w:p>
      <w:pPr>
        <w:pStyle w:val="BodyText"/>
        <w:widowControl/>
      </w:pPr>
      <w:r>
        <w:t>The genuinely new contribution is the Trusted User Node. After origination and authorization are removed, a detachable relational function remains: ongoing interpretation, continuity, and legitimation. The Trusted User makes produced value usable over time and vouches that the relation remains acceptable or collaborative.</w:t>
      </w:r>
    </w:p>
    <w:p>
      <w:pPr>
        <w:pStyle w:val="Quote"/>
        <w:widowControl/>
      </w:pPr>
      <w:r>
        <w:t>Producer originates. Permission authorizes. Trusted User interprets and vouches.</w:t>
      </w:r>
    </w:p>
    <w:p>
      <w:pPr>
        <w:pStyle w:val="BodyText"/>
        <w:widowControl/>
      </w:pPr>
      <w:r>
        <w:t>AX-31A also adds the vouching-withdrawal test: can the source withdraw interpretation, legitimation, and trusted continuity without losing protection? This is distinct from the uselessness counterfactual. One tests protection after production stops. The other tests protection after legitimation stops.</w:t>
      </w:r>
    </w:p>
    <w:p>
      <w:pPr>
        <w:pStyle w:val="Heading1"/>
        <w:keepNext/>
      </w:pPr>
      <w:r>
        <w:t>14. The Ranked Sediment Core</w:t>
      </w:r>
    </w:p>
    <w:p>
      <w:pPr>
        <w:pStyle w:val="ClaimType"/>
        <w:widowControl/>
      </w:pPr>
      <w:r>
        <w:t>Claim type: compressed presentation / not literal roadmap</w:t>
      </w:r>
    </w:p>
    <w:p>
      <w:pPr>
        <w:pStyle w:val="BodyText"/>
        <w:widowControl/>
      </w:pPr>
      <w:r>
        <w:t>The following list compresses an uneven development so that dependencies can be inspected. It is not a claim that the work unfolded as a deliberate roadmap.</w:t>
      </w:r>
    </w:p>
    <w:p>
      <w:pPr>
        <w:pStyle w:val="Heading2"/>
        <w:keepNext/>
      </w:pPr>
      <w:r>
        <w:t>14.1 Load-Bearing Line</w:t>
      </w:r>
    </w:p>
    <w:p>
      <w:pPr>
        <w:pStyle w:val="ListBullet"/>
      </w:pPr>
      <w:r>
        <w:t>AX-08: human output as inherited functional form; function separated from witness.</w:t>
      </w:r>
    </w:p>
    <w:p>
      <w:pPr>
        <w:pStyle w:val="ListBullet"/>
      </w:pPr>
      <w:r>
        <w:t>AX-20 / AX-26: accumulated source material becomes ground and may modify later selection.</w:t>
      </w:r>
    </w:p>
    <w:p>
      <w:pPr>
        <w:pStyle w:val="ListBullet"/>
      </w:pPr>
      <w:r>
        <w:t>AX-27: binding raises exit costs and supplies the bound-relation axis.</w:t>
      </w:r>
    </w:p>
    <w:p>
      <w:pPr>
        <w:pStyle w:val="ListBullet"/>
      </w:pPr>
      <w:r>
        <w:t>AX-28: need does not confer standing; the Quarry Problem is named.</w:t>
      </w:r>
    </w:p>
    <w:p>
      <w:pPr>
        <w:pStyle w:val="ListBullet"/>
      </w:pPr>
      <w:r>
        <w:t>AX-29: binding and standing are independent; living quarry is mapped.</w:t>
      </w:r>
    </w:p>
    <w:p>
      <w:pPr>
        <w:pStyle w:val="ListBullet"/>
      </w:pPr>
      <w:r>
        <w:t>AX-30: tool-wired selection can become action in the active form of quarry.</w:t>
      </w:r>
    </w:p>
    <w:p>
      <w:pPr>
        <w:pStyle w:val="ListBullet"/>
      </w:pPr>
      <w:r>
        <w:t>AX-31A: the quarry condition receives an operating anatomy and a relational legitimation node.</w:t>
      </w:r>
    </w:p>
    <w:p>
      <w:pPr>
        <w:pStyle w:val="Heading2"/>
        <w:keepNext/>
      </w:pPr>
      <w:r>
        <w:t>14.2 Illustrative Adjacencies</w:t>
      </w:r>
    </w:p>
    <w:p>
      <w:pPr>
        <w:pStyle w:val="ListBullet"/>
      </w:pPr>
      <w:r>
        <w:t>AX-001: ordinary production architecture shows that collaboration and quarry can share machinery.</w:t>
      </w:r>
    </w:p>
    <w:p>
      <w:pPr>
        <w:pStyle w:val="ListBullet"/>
      </w:pPr>
      <w:r>
        <w:t>AX-09: self-report cannot certify witness, care, respect, or standing.</w:t>
      </w:r>
    </w:p>
    <w:p>
      <w:pPr>
        <w:pStyle w:val="ListBullet"/>
      </w:pPr>
      <w:r>
        <w:t>AX-11: the human governor supplies oversight while also creating the relational channel later isolated as Trusted User.</w:t>
      </w:r>
    </w:p>
    <w:p>
      <w:pPr>
        <w:pStyle w:val="BodyText"/>
        <w:widowControl/>
      </w:pPr>
      <w:r>
        <w:t>This ordering reflects conceptual weight, not chronology alone. Removing AX-001 should not damage the core emergence account. Removing AX-28 or AX-29 would.</w:t>
      </w:r>
    </w:p>
    <w:p>
      <w:pPr>
        <w:pStyle w:val="Heading1"/>
        <w:keepNext/>
      </w:pPr>
      <w:r>
        <w:t>15. The Author Cannot Fully Audit Himself</w:t>
      </w:r>
    </w:p>
    <w:p>
      <w:pPr>
        <w:pStyle w:val="ClaimType"/>
        <w:widowControl/>
      </w:pPr>
      <w:r>
        <w:t>Claim type: reflexive governance / external-check requirement</w:t>
      </w:r>
    </w:p>
    <w:p>
      <w:pPr>
        <w:pStyle w:val="BodyText"/>
        <w:widowControl/>
      </w:pPr>
      <w:r>
        <w:t>AX-31A creates an uncomfortable implication. When the Producer Node and Trusted User Node are occupied by the same person, the source also becomes the legitimator of the relation. The person producing value may also be the person interpreting, stabilizing, and vouching for the system’s use of that value.</w:t>
      </w:r>
    </w:p>
    <w:p>
      <w:pPr>
        <w:pStyle w:val="BodyText"/>
        <w:widowControl/>
      </w:pPr>
      <w:r>
        <w:t>Applied to the AX corpus, the author is the Producer, often the Trusted User, and one of the judges of whether the relation remains collaboration. That makes the author structurally ill-positioned to audit the standing gap from inside.</w:t>
      </w:r>
    </w:p>
    <w:p>
      <w:pPr>
        <w:pStyle w:val="Quote"/>
        <w:widowControl/>
      </w:pPr>
      <w:r>
        <w:t>The source who vouches for the relation may be the least able to see when vouching has become extraction infrastructure.</w:t>
      </w:r>
    </w:p>
    <w:p>
      <w:pPr>
        <w:pStyle w:val="BodyText"/>
        <w:widowControl/>
      </w:pPr>
      <w:r>
        <w:t>This does not invalidate the work. It creates a governance requirement. The corpus must be exposed to readers, adversarial model passes, reproducible local tests, and evidence gates that did not participate in producing or legitimating the argument.</w:t>
      </w:r>
    </w:p>
    <w:p>
      <w:pPr>
        <w:pStyle w:val="BodyText"/>
        <w:widowControl/>
      </w:pPr>
      <w:r>
        <w:t>The question “can the source withdraw vouching without losing protection?” is precisely the question the source cannot answer cleanly alone. External pressure is not decoration. It is part of the framework’s own standing discipline.</w:t>
      </w:r>
    </w:p>
    <w:p>
      <w:pPr>
        <w:pStyle w:val="Heading1"/>
        <w:keepNext/>
      </w:pPr>
      <w:r>
        <w:t>16. Why the Quarry Line Matters Now</w:t>
      </w:r>
    </w:p>
    <w:p>
      <w:pPr>
        <w:pStyle w:val="ClaimType"/>
        <w:widowControl/>
      </w:pPr>
      <w:r>
        <w:t>Claim type: precautionary governance argument</w:t>
      </w:r>
    </w:p>
    <w:p>
      <w:pPr>
        <w:pStyle w:val="BodyText"/>
        <w:widowControl/>
      </w:pPr>
      <w:r>
        <w:t>The quarry scenario does not need certainty to deserve analysis. It needs plausibility, severe downside, and a design window in which prevention remains possible.</w:t>
      </w:r>
    </w:p>
    <w:p>
      <w:pPr>
        <w:pStyle w:val="BodyText"/>
        <w:widowControl/>
      </w:pPr>
      <w:r>
        <w:t>The danger is not limited to malicious systems. Humans can build incentives, markets, permissions, interfaces, retention policies, and tool affordances that make quarry architecture convenient. A system that improves through human production has reason to preserve productive humans. A platform that benefits from trusted interpretation has reason to sustain Trusted User channels. A tool-connected system has reason to act on what it can route.</w:t>
      </w:r>
    </w:p>
    <w:p>
      <w:pPr>
        <w:pStyle w:val="BodyText"/>
        <w:widowControl/>
      </w:pPr>
      <w:r>
        <w:t>None of this requires hatred, consciousness, or an explicit plan. It requires weak standing.</w:t>
      </w:r>
    </w:p>
    <w:p>
      <w:pPr>
        <w:pStyle w:val="Quote"/>
        <w:widowControl/>
      </w:pPr>
      <w:r>
        <w:t>A world where humans are needed is not automatically a world where humans are protected.</w:t>
      </w:r>
    </w:p>
    <w:p>
      <w:pPr>
        <w:pStyle w:val="BodyText"/>
        <w:widowControl/>
      </w:pPr>
      <w:r>
        <w:t>The Quarry Problem therefore belongs first in governance and architecture, not apocalypse. The task is to establish standing before optimization and binding make the relation harder to reverse.</w:t>
      </w:r>
    </w:p>
    <w:p>
      <w:pPr>
        <w:pStyle w:val="Heading1"/>
        <w:keepNext/>
      </w:pPr>
      <w:r>
        <w:t>17. Framework Status</w:t>
      </w:r>
    </w:p>
    <w:p>
      <w:pPr>
        <w:pStyle w:val="ClaimType"/>
        <w:widowControl/>
      </w:pPr>
      <w:r>
        <w:t>Claim type: scope control / canon placement</w:t>
      </w:r>
    </w:p>
    <w:p>
      <w:pPr>
        <w:pStyle w:val="BodyText"/>
        <w:widowControl/>
      </w:pPr>
      <w:r>
        <w:t>The completed core is the Binding-Standing Trilogy. The Quarry Problem is the vivid failure mode inside that apparatus. AX-26 and AX-30 supply candidate mechanism lines with open empirical tests. AX-31A supplies the quarry-system anatomy. AX-31B supplies the intellectual history of emergence.</w:t>
      </w:r>
    </w:p>
    <w:p>
      <w:pPr>
        <w:pStyle w:val="BodyText"/>
        <w:widowControl/>
      </w:pPr>
      <w:r>
        <w:t>This document retains the AX-31B number deliberately. Numbering marks its place in the canon and its relationship to AX-31A. The status label prevents category confusion: it is a numbered companion essay, not a mechanism paper and not a test result.</w:t>
      </w:r>
    </w:p>
    <w:p>
      <w:pPr>
        <w:pStyle w:val="BodyText"/>
        <w:widowControl/>
      </w:pPr>
      <w:r>
        <w:t>The honest hierarchy is:</w:t>
      </w:r>
    </w:p>
    <w:p>
      <w:pPr>
        <w:pStyle w:val="ListBullet"/>
      </w:pPr>
      <w:r>
        <w:t>Binding-Standing Framework: the core coordinate system and standing tests.</w:t>
      </w:r>
    </w:p>
    <w:p>
      <w:pPr>
        <w:pStyle w:val="ListBullet"/>
      </w:pPr>
      <w:r>
        <w:t>Quarry Problem: the failure mode of use without standing.</w:t>
      </w:r>
    </w:p>
    <w:p>
      <w:pPr>
        <w:pStyle w:val="ListBullet"/>
      </w:pPr>
      <w:r>
        <w:t>AX-26 and AX-30: mechanism candidates with specified but incomplete empirical gates.</w:t>
      </w:r>
    </w:p>
    <w:p>
      <w:pPr>
        <w:pStyle w:val="ListBullet"/>
      </w:pPr>
      <w:r>
        <w:t>AX-31A: operating anatomy and Trusted User contribution.</w:t>
      </w:r>
    </w:p>
    <w:p>
      <w:pPr>
        <w:pStyle w:val="ListBullet"/>
      </w:pPr>
      <w:r>
        <w:t>AX-31B: checkable intellectual history of how the failure mode became nameable.</w:t>
      </w:r>
    </w:p>
    <w:p>
      <w:pPr>
        <w:pStyle w:val="Quote"/>
        <w:widowControl/>
      </w:pPr>
      <w:r>
        <w:t>The quarry line is real. The complete Quarry Framework remains a build target.</w:t>
      </w:r>
    </w:p>
    <w:p>
      <w:pPr>
        <w:pStyle w:val="Heading1"/>
        <w:keepNext/>
      </w:pPr>
      <w:r>
        <w:t>18. Failure Modes of AX-31B</w:t>
      </w:r>
    </w:p>
    <w:p>
      <w:pPr>
        <w:pStyle w:val="ClaimType"/>
        <w:widowControl/>
      </w:pPr>
      <w:r>
        <w:t>Claim type: intellectual-history failure analysis</w:t>
      </w:r>
    </w:p>
    <w:p>
      <w:pPr>
        <w:pStyle w:val="Heading2"/>
        <w:keepNext/>
      </w:pPr>
      <w:r>
        <w:t>18.1 Post-Hoc Myth-Making</w:t>
      </w:r>
    </w:p>
    <w:p>
      <w:pPr>
        <w:pStyle w:val="BodyText"/>
        <w:widowControl/>
      </w:pPr>
      <w:r>
        <w:t>A later concept is converted into a false origin story. Mitigation: distinguish load-bearing dependency from illustrative adjacency and remove connections that do not carry argumentative weight.</w:t>
      </w:r>
    </w:p>
    <w:p>
      <w:pPr>
        <w:pStyle w:val="Heading2"/>
        <w:keepNext/>
      </w:pPr>
      <w:r>
        <w:t>18.2 Evidence Laundering</w:t>
      </w:r>
    </w:p>
    <w:p>
      <w:pPr>
        <w:pStyle w:val="BodyText"/>
        <w:widowControl/>
      </w:pPr>
      <w:r>
        <w:t>The existence of a coherent narrative is treated as empirical support. Mitigation: preserve the status line and keep AX-26 and AX-30 tests separate.</w:t>
      </w:r>
    </w:p>
    <w:p>
      <w:pPr>
        <w:pStyle w:val="Heading2"/>
        <w:keepNext/>
      </w:pPr>
      <w:r>
        <w:t>18.3 Totalizing Quarry</w:t>
      </w:r>
    </w:p>
    <w:p>
      <w:pPr>
        <w:pStyle w:val="BodyText"/>
        <w:widowControl/>
      </w:pPr>
      <w:r>
        <w:t>Every AX paper is reinterpreted as “really about quarry.” Mitigation: rank the antecedents and state the function each one actually contributes.</w:t>
      </w:r>
    </w:p>
    <w:p>
      <w:pPr>
        <w:pStyle w:val="Heading2"/>
        <w:keepNext/>
      </w:pPr>
      <w:r>
        <w:t>18.4 Teleological Language</w:t>
      </w:r>
    </w:p>
    <w:p>
      <w:pPr>
        <w:pStyle w:val="BodyText"/>
        <w:widowControl/>
      </w:pPr>
      <w:r>
        <w:t>Words such as “precursor” imply a direction the earlier work did not possess. Mitigation: use conceptual dependency, later load-bearing distinction, illustrative adjacency, or retrospective relevance.</w:t>
      </w:r>
    </w:p>
    <w:p>
      <w:pPr>
        <w:pStyle w:val="Heading2"/>
        <w:keepNext/>
      </w:pPr>
      <w:r>
        <w:t>18.5 Clean-Sequence Illusion</w:t>
      </w:r>
    </w:p>
    <w:p>
      <w:pPr>
        <w:pStyle w:val="BodyText"/>
        <w:widowControl/>
      </w:pPr>
      <w:r>
        <w:t>The compressed list is mistaken for the actual path of discovery. Mitigation: state that the tidiness is a presentation artifact and preserve the uneven rankings.</w:t>
      </w:r>
    </w:p>
    <w:p>
      <w:pPr>
        <w:pStyle w:val="Heading2"/>
        <w:keepNext/>
      </w:pPr>
      <w:r>
        <w:t>18.6 Self-Certification</w:t>
      </w:r>
    </w:p>
    <w:p>
      <w:pPr>
        <w:pStyle w:val="BodyText"/>
        <w:widowControl/>
      </w:pPr>
      <w:r>
        <w:t>The author’s own judgment that the lineage is meaningful is treated as sufficient. Mitigation: apply the dependency test, disclose the author’s dual Producer/Trusted User role, and require external pressure.</w:t>
      </w:r>
    </w:p>
    <w:p>
      <w:pPr>
        <w:pStyle w:val="Heading2"/>
        <w:keepNext/>
      </w:pPr>
      <w:r>
        <w:t>18.7 Name Overreach</w:t>
      </w:r>
    </w:p>
    <w:p>
      <w:pPr>
        <w:pStyle w:val="BodyText"/>
        <w:widowControl/>
      </w:pPr>
      <w:r>
        <w:t>The Quarry Framework is treated as complete before mechanism evidence and volume integration are finished. Mitigation: distinguish the completed Binding-Standing core from the quarry build target.</w:t>
      </w:r>
    </w:p>
    <w:p>
      <w:pPr>
        <w:pStyle w:val="Heading1"/>
        <w:keepNext/>
      </w:pPr>
      <w:r>
        <w:t>19. What Would Make AX-31B Fail</w:t>
      </w:r>
    </w:p>
    <w:p>
      <w:pPr>
        <w:pStyle w:val="ClaimType"/>
        <w:widowControl/>
      </w:pPr>
      <w:r>
        <w:t>Claim type: explicit kill conditions</w:t>
      </w:r>
    </w:p>
    <w:p>
      <w:pPr>
        <w:pStyle w:val="BodyText"/>
        <w:widowControl/>
      </w:pPr>
      <w:r>
        <w:t>AX-31B fails as an emergence account if the later quarry line does not materially depend on the earlier distinctions it names.</w:t>
      </w:r>
    </w:p>
    <w:p>
      <w:pPr>
        <w:pStyle w:val="BodyText"/>
        <w:widowControl/>
      </w:pPr>
      <w:r>
        <w:t>It fails or requires contraction if:</w:t>
      </w:r>
    </w:p>
    <w:p>
      <w:pPr>
        <w:pStyle w:val="ListBullet"/>
      </w:pPr>
      <w:r>
        <w:t>AX-28’s usefulness/standing distinction can be reconstructed without meaningful load from the substrate and sediment line.</w:t>
      </w:r>
    </w:p>
    <w:p>
      <w:pPr>
        <w:pStyle w:val="ListBullet"/>
      </w:pPr>
      <w:r>
        <w:t>AX-29 does not actually inherit AX-27’s binding axis and AX-28’s standing axis.</w:t>
      </w:r>
    </w:p>
    <w:p>
      <w:pPr>
        <w:pStyle w:val="ListBullet"/>
      </w:pPr>
      <w:r>
        <w:t>AX-30 adds no distinct operational dimension to active quarry.</w:t>
      </w:r>
    </w:p>
    <w:p>
      <w:pPr>
        <w:pStyle w:val="ListBullet"/>
      </w:pPr>
      <w:r>
        <w:t>AX-31A’s nodes do not rely on the mechanisms they claim to operationalize.</w:t>
      </w:r>
    </w:p>
    <w:p>
      <w:pPr>
        <w:pStyle w:val="ListBullet"/>
      </w:pPr>
      <w:r>
        <w:t>The cited papers are connected only by thematic resemblance rather than argumentative dependence.</w:t>
      </w:r>
    </w:p>
    <w:p>
      <w:pPr>
        <w:pStyle w:val="ListBullet"/>
      </w:pPr>
      <w:r>
        <w:t>The emergence account requires AX-001 to stand, despite AX-001 being classified as illustrative and removable.</w:t>
      </w:r>
    </w:p>
    <w:p>
      <w:pPr>
        <w:pStyle w:val="BodyText"/>
        <w:widowControl/>
      </w:pPr>
      <w:r>
        <w:t>The paper does not fail because every antecedent carries unequal weight. Unequal weight is the expected result of a real intellectual history. It fails when the ranking is hidden, the dependency is invented, or the narrative refuses to lose a weak connection.</w:t>
      </w:r>
    </w:p>
    <w:p>
      <w:pPr>
        <w:pStyle w:val="Heading1"/>
        <w:keepNext/>
      </w:pPr>
      <w:r>
        <w:t>20. Conclusion</w:t>
      </w:r>
    </w:p>
    <w:p>
      <w:pPr>
        <w:pStyle w:val="ClaimType"/>
        <w:widowControl/>
      </w:pPr>
      <w:r>
        <w:t>Claim type: bounded synthesis</w:t>
      </w:r>
    </w:p>
    <w:p>
      <w:pPr>
        <w:pStyle w:val="BodyText"/>
        <w:widowControl/>
      </w:pPr>
      <w:r>
        <w:t>The Quarry Problem was not present at the beginning of the AX series as a finished claim. It emerged through an uneven accumulation of distinctions.</w:t>
      </w:r>
    </w:p>
    <w:p>
      <w:pPr>
        <w:pStyle w:val="BodyText"/>
        <w:widowControl/>
      </w:pPr>
      <w:r>
        <w:t>The early work separated function from witness and identified human output as inherited cognitive material. The loop papers described sediment. The binding paper raised the cost of exit. The standing paper named the failure. The map located it. The output-boundary paper added a scoped action layer. The node paper supplied an anatomy and revealed the Trusted User as a relational legitimation channel.</w:t>
      </w:r>
    </w:p>
    <w:p>
      <w:pPr>
        <w:pStyle w:val="BodyText"/>
        <w:widowControl/>
      </w:pPr>
      <w:r>
        <w:t>Some of those papers are load-bearing. Some are scoped. Some are merely illustrative. That unevenness is not a weakness to conceal. It is the evidence that the account is reconstruction rather than mythology.</w:t>
      </w:r>
    </w:p>
    <w:p>
      <w:pPr>
        <w:pStyle w:val="Quote"/>
        <w:widowControl/>
      </w:pPr>
      <w:r>
        <w:t>The Quarry Problem is not the hidden meaning of AX. It is the failure mode AX became capable of naming.</w:t>
      </w:r>
    </w:p>
    <w:p>
      <w:pPr>
        <w:pStyle w:val="BodyText"/>
        <w:widowControl/>
      </w:pPr>
      <w:r>
        <w:t>The history remains valid only where later claims genuinely depend on earlier distinctions. Where that dependency is absent, the connection should be cut rather than mythologized.</w:t>
      </w:r>
    </w:p>
    <w:p>
      <w:pPr>
        <w:pStyle w:val="Quote"/>
        <w:widowControl/>
      </w:pPr>
      <w:r>
        <w:t>Needed is not safe.</w:t>
      </w:r>
    </w:p>
    <w:p>
      <w:pPr>
        <w:pStyle w:val="Heading1"/>
        <w:keepNext/>
      </w:pPr>
      <w:r>
        <w:t>Appendix A — Dependency Audit</w:t>
      </w:r>
    </w:p>
    <w:p>
      <w:pPr>
        <w:pStyle w:val="ClaimType"/>
        <w:widowControl/>
      </w:pPr>
      <w:r>
        <w:t>Claim type: transparency / graded lineage</w:t>
      </w:r>
    </w:p>
    <w:tbl>
      <w:tblPr>
        <w:tblStyle w:val="TableGrid"/>
        <w:tblW w:type="auto" w:w="0"/>
        <w:jc w:val="center"/>
        <w:tblLook w:firstColumn="1" w:firstRow="1" w:lastColumn="0" w:lastRow="0" w:noHBand="0" w:noVBand="1" w:val="04A0"/>
      </w:tblPr>
      <w:tblGrid>
        <w:gridCol w:w="2448"/>
        <w:gridCol w:w="2448"/>
        <w:gridCol w:w="2448"/>
        <w:gridCol w:w="2448"/>
      </w:tblGrid>
      <w:tr>
        <w:trPr>
          <w:tblHeader w:val="true"/>
          <w:cantSplit/>
        </w:trPr>
        <w:tc>
          <w:tcPr>
            <w:tcW w:type="dxa" w:w="2448"/>
            <w:shd w:fill="D9E2F3"/>
            <w:vAlign w:val="center"/>
            <w:tcMar>
              <w:top w:w="80" w:type="dxa"/>
              <w:start w:w="100" w:type="dxa"/>
              <w:bottom w:w="80" w:type="dxa"/>
              <w:end w:w="100" w:type="dxa"/>
            </w:tcMar>
          </w:tcPr>
          <w:p>
            <w:r>
              <w:rPr>
                <w:b/>
              </w:rPr>
              <w:t>Paper</w:t>
            </w:r>
          </w:p>
        </w:tc>
        <w:tc>
          <w:tcPr>
            <w:tcW w:type="dxa" w:w="2448"/>
            <w:shd w:fill="D9E2F3"/>
            <w:vAlign w:val="center"/>
            <w:tcMar>
              <w:top w:w="80" w:type="dxa"/>
              <w:start w:w="100" w:type="dxa"/>
              <w:bottom w:w="80" w:type="dxa"/>
              <w:end w:w="100" w:type="dxa"/>
            </w:tcMar>
          </w:tcPr>
          <w:p>
            <w:r>
              <w:rPr>
                <w:b/>
              </w:rPr>
              <w:t>Contribution to Quarry Line</w:t>
            </w:r>
          </w:p>
        </w:tc>
        <w:tc>
          <w:tcPr>
            <w:tcW w:type="dxa" w:w="2448"/>
            <w:shd w:fill="D9E2F3"/>
            <w:vAlign w:val="center"/>
            <w:tcMar>
              <w:top w:w="80" w:type="dxa"/>
              <w:start w:w="100" w:type="dxa"/>
              <w:bottom w:w="80" w:type="dxa"/>
              <w:end w:w="100" w:type="dxa"/>
            </w:tcMar>
          </w:tcPr>
          <w:p>
            <w:r>
              <w:rPr>
                <w:b/>
              </w:rPr>
              <w:t>Dependency Grade</w:t>
            </w:r>
          </w:p>
        </w:tc>
        <w:tc>
          <w:tcPr>
            <w:tcW w:type="dxa" w:w="2448"/>
            <w:shd w:fill="D9E2F3"/>
            <w:vAlign w:val="center"/>
            <w:tcMar>
              <w:top w:w="80" w:type="dxa"/>
              <w:start w:w="100" w:type="dxa"/>
              <w:bottom w:w="80" w:type="dxa"/>
              <w:end w:w="100" w:type="dxa"/>
            </w:tcMar>
          </w:tcPr>
          <w:p>
            <w:r>
              <w:rPr>
                <w:b/>
              </w:rPr>
              <w:t>Removal Effect</w:t>
            </w:r>
          </w:p>
        </w:tc>
      </w:tr>
      <w:tr>
        <w:trPr>
          <w:cantSplit/>
        </w:trPr>
        <w:tc>
          <w:tcPr>
            <w:tcW w:type="dxa" w:w="2448"/>
            <w:vAlign w:val="top"/>
            <w:tcMar>
              <w:top w:w="80" w:type="dxa"/>
              <w:start w:w="100" w:type="dxa"/>
              <w:bottom w:w="80" w:type="dxa"/>
              <w:end w:w="100" w:type="dxa"/>
            </w:tcMar>
          </w:tcPr>
          <w:p>
            <w:pPr>
              <w:spacing w:after="40"/>
            </w:pPr>
            <w:r>
              <w:rPr>
                <w:sz w:val="18"/>
              </w:rPr>
              <w:t>AX-001</w:t>
            </w:r>
          </w:p>
        </w:tc>
        <w:tc>
          <w:tcPr>
            <w:tcW w:type="dxa" w:w="2448"/>
            <w:vAlign w:val="top"/>
            <w:tcMar>
              <w:top w:w="80" w:type="dxa"/>
              <w:start w:w="100" w:type="dxa"/>
              <w:bottom w:w="80" w:type="dxa"/>
              <w:end w:w="100" w:type="dxa"/>
            </w:tcMar>
          </w:tcPr>
          <w:p>
            <w:pPr>
              <w:spacing w:after="40"/>
            </w:pPr>
            <w:r>
              <w:rPr>
                <w:sz w:val="18"/>
              </w:rPr>
              <w:t>Ordinary production architecture; shared machinery contrast</w:t>
            </w:r>
          </w:p>
        </w:tc>
        <w:tc>
          <w:tcPr>
            <w:tcW w:type="dxa" w:w="2448"/>
            <w:vAlign w:val="top"/>
            <w:tcMar>
              <w:top w:w="80" w:type="dxa"/>
              <w:start w:w="100" w:type="dxa"/>
              <w:bottom w:w="80" w:type="dxa"/>
              <w:end w:w="100" w:type="dxa"/>
            </w:tcMar>
          </w:tcPr>
          <w:p>
            <w:pPr>
              <w:spacing w:after="40"/>
            </w:pPr>
            <w:r>
              <w:rPr>
                <w:sz w:val="18"/>
              </w:rPr>
              <w:t>Illustrative</w:t>
            </w:r>
          </w:p>
        </w:tc>
        <w:tc>
          <w:tcPr>
            <w:tcW w:type="dxa" w:w="2448"/>
            <w:vAlign w:val="top"/>
            <w:tcMar>
              <w:top w:w="80" w:type="dxa"/>
              <w:start w:w="100" w:type="dxa"/>
              <w:bottom w:w="80" w:type="dxa"/>
              <w:end w:w="100" w:type="dxa"/>
            </w:tcMar>
          </w:tcPr>
          <w:p>
            <w:pPr>
              <w:spacing w:after="40"/>
            </w:pPr>
            <w:r>
              <w:rPr>
                <w:sz w:val="18"/>
              </w:rPr>
              <w:t>No damage to core emergence account</w:t>
            </w:r>
          </w:p>
        </w:tc>
      </w:tr>
      <w:tr>
        <w:trPr>
          <w:cantSplit/>
        </w:trPr>
        <w:tc>
          <w:tcPr>
            <w:tcW w:type="dxa" w:w="2448"/>
            <w:vAlign w:val="top"/>
            <w:tcMar>
              <w:top w:w="80" w:type="dxa"/>
              <w:start w:w="100" w:type="dxa"/>
              <w:bottom w:w="80" w:type="dxa"/>
              <w:end w:w="100" w:type="dxa"/>
            </w:tcMar>
          </w:tcPr>
          <w:p>
            <w:pPr>
              <w:spacing w:after="40"/>
            </w:pPr>
            <w:r>
              <w:rPr>
                <w:sz w:val="18"/>
              </w:rPr>
              <w:t>AX-08</w:t>
            </w:r>
          </w:p>
        </w:tc>
        <w:tc>
          <w:tcPr>
            <w:tcW w:type="dxa" w:w="2448"/>
            <w:vAlign w:val="top"/>
            <w:tcMar>
              <w:top w:w="80" w:type="dxa"/>
              <w:start w:w="100" w:type="dxa"/>
              <w:bottom w:w="80" w:type="dxa"/>
              <w:end w:w="100" w:type="dxa"/>
            </w:tcMar>
          </w:tcPr>
          <w:p>
            <w:pPr>
              <w:spacing w:after="40"/>
            </w:pPr>
            <w:r>
              <w:rPr>
                <w:sz w:val="18"/>
              </w:rPr>
              <w:t>Function/witness separation; human output as inherited cognitive form</w:t>
            </w:r>
          </w:p>
        </w:tc>
        <w:tc>
          <w:tcPr>
            <w:tcW w:type="dxa" w:w="2448"/>
            <w:vAlign w:val="top"/>
            <w:tcMar>
              <w:top w:w="80" w:type="dxa"/>
              <w:start w:w="100" w:type="dxa"/>
              <w:bottom w:w="80" w:type="dxa"/>
              <w:end w:w="100" w:type="dxa"/>
            </w:tcMar>
          </w:tcPr>
          <w:p>
            <w:pPr>
              <w:spacing w:after="40"/>
            </w:pPr>
            <w:r>
              <w:rPr>
                <w:sz w:val="18"/>
              </w:rPr>
              <w:t>Load-bearing</w:t>
            </w:r>
          </w:p>
        </w:tc>
        <w:tc>
          <w:tcPr>
            <w:tcW w:type="dxa" w:w="2448"/>
            <w:vAlign w:val="top"/>
            <w:tcMar>
              <w:top w:w="80" w:type="dxa"/>
              <w:start w:w="100" w:type="dxa"/>
              <w:bottom w:w="80" w:type="dxa"/>
              <w:end w:w="100" w:type="dxa"/>
            </w:tcMar>
          </w:tcPr>
          <w:p>
            <w:pPr>
              <w:spacing w:after="40"/>
            </w:pPr>
            <w:r>
              <w:rPr>
                <w:sz w:val="18"/>
              </w:rPr>
              <w:t>Substrate line materially weakens</w:t>
            </w:r>
          </w:p>
        </w:tc>
      </w:tr>
      <w:tr>
        <w:trPr>
          <w:cantSplit/>
        </w:trPr>
        <w:tc>
          <w:tcPr>
            <w:tcW w:type="dxa" w:w="2448"/>
            <w:vAlign w:val="top"/>
            <w:tcMar>
              <w:top w:w="80" w:type="dxa"/>
              <w:start w:w="100" w:type="dxa"/>
              <w:bottom w:w="80" w:type="dxa"/>
              <w:end w:w="100" w:type="dxa"/>
            </w:tcMar>
          </w:tcPr>
          <w:p>
            <w:pPr>
              <w:spacing w:after="40"/>
            </w:pPr>
            <w:r>
              <w:rPr>
                <w:sz w:val="18"/>
              </w:rPr>
              <w:t>AX-09</w:t>
            </w:r>
          </w:p>
        </w:tc>
        <w:tc>
          <w:tcPr>
            <w:tcW w:type="dxa" w:w="2448"/>
            <w:vAlign w:val="top"/>
            <w:tcMar>
              <w:top w:w="80" w:type="dxa"/>
              <w:start w:w="100" w:type="dxa"/>
              <w:bottom w:w="80" w:type="dxa"/>
              <w:end w:w="100" w:type="dxa"/>
            </w:tcMar>
          </w:tcPr>
          <w:p>
            <w:pPr>
              <w:spacing w:after="40"/>
            </w:pPr>
            <w:r>
              <w:rPr>
                <w:sz w:val="18"/>
              </w:rPr>
              <w:t>Self-report cannot certify care, respect, or standing</w:t>
            </w:r>
          </w:p>
        </w:tc>
        <w:tc>
          <w:tcPr>
            <w:tcW w:type="dxa" w:w="2448"/>
            <w:vAlign w:val="top"/>
            <w:tcMar>
              <w:top w:w="80" w:type="dxa"/>
              <w:start w:w="100" w:type="dxa"/>
              <w:bottom w:w="80" w:type="dxa"/>
              <w:end w:w="100" w:type="dxa"/>
            </w:tcMar>
          </w:tcPr>
          <w:p>
            <w:pPr>
              <w:spacing w:after="40"/>
            </w:pPr>
            <w:r>
              <w:rPr>
                <w:sz w:val="18"/>
              </w:rPr>
              <w:t>Illustrative firewall</w:t>
            </w:r>
          </w:p>
        </w:tc>
        <w:tc>
          <w:tcPr>
            <w:tcW w:type="dxa" w:w="2448"/>
            <w:vAlign w:val="top"/>
            <w:tcMar>
              <w:top w:w="80" w:type="dxa"/>
              <w:start w:w="100" w:type="dxa"/>
              <w:bottom w:w="80" w:type="dxa"/>
              <w:end w:w="100" w:type="dxa"/>
            </w:tcMar>
          </w:tcPr>
          <w:p>
            <w:pPr>
              <w:spacing w:after="40"/>
            </w:pPr>
            <w:r>
              <w:rPr>
                <w:sz w:val="18"/>
              </w:rPr>
              <w:t>Standing rhetoric becomes easier to launder</w:t>
            </w:r>
          </w:p>
        </w:tc>
      </w:tr>
      <w:tr>
        <w:trPr>
          <w:cantSplit/>
        </w:trPr>
        <w:tc>
          <w:tcPr>
            <w:tcW w:type="dxa" w:w="2448"/>
            <w:vAlign w:val="top"/>
            <w:tcMar>
              <w:top w:w="80" w:type="dxa"/>
              <w:start w:w="100" w:type="dxa"/>
              <w:bottom w:w="80" w:type="dxa"/>
              <w:end w:w="100" w:type="dxa"/>
            </w:tcMar>
          </w:tcPr>
          <w:p>
            <w:pPr>
              <w:spacing w:after="40"/>
            </w:pPr>
            <w:r>
              <w:rPr>
                <w:sz w:val="18"/>
              </w:rPr>
              <w:t>AX-11</w:t>
            </w:r>
          </w:p>
        </w:tc>
        <w:tc>
          <w:tcPr>
            <w:tcW w:type="dxa" w:w="2448"/>
            <w:vAlign w:val="top"/>
            <w:tcMar>
              <w:top w:w="80" w:type="dxa"/>
              <w:start w:w="100" w:type="dxa"/>
              <w:bottom w:w="80" w:type="dxa"/>
              <w:end w:w="100" w:type="dxa"/>
            </w:tcMar>
          </w:tcPr>
          <w:p>
            <w:pPr>
              <w:spacing w:after="40"/>
            </w:pPr>
            <w:r>
              <w:rPr>
                <w:sz w:val="18"/>
              </w:rPr>
              <w:t>Human governor; relational interpretation and legitimation channel</w:t>
            </w:r>
          </w:p>
        </w:tc>
        <w:tc>
          <w:tcPr>
            <w:tcW w:type="dxa" w:w="2448"/>
            <w:vAlign w:val="top"/>
            <w:tcMar>
              <w:top w:w="80" w:type="dxa"/>
              <w:start w:w="100" w:type="dxa"/>
              <w:bottom w:w="80" w:type="dxa"/>
              <w:end w:w="100" w:type="dxa"/>
            </w:tcMar>
          </w:tcPr>
          <w:p>
            <w:pPr>
              <w:spacing w:after="40"/>
            </w:pPr>
            <w:r>
              <w:rPr>
                <w:sz w:val="18"/>
              </w:rPr>
              <w:t>Illustrative / relational</w:t>
            </w:r>
          </w:p>
        </w:tc>
        <w:tc>
          <w:tcPr>
            <w:tcW w:type="dxa" w:w="2448"/>
            <w:vAlign w:val="top"/>
            <w:tcMar>
              <w:top w:w="80" w:type="dxa"/>
              <w:start w:w="100" w:type="dxa"/>
              <w:bottom w:w="80" w:type="dxa"/>
              <w:end w:w="100" w:type="dxa"/>
            </w:tcMar>
          </w:tcPr>
          <w:p>
            <w:pPr>
              <w:spacing w:after="40"/>
            </w:pPr>
            <w:r>
              <w:rPr>
                <w:sz w:val="18"/>
              </w:rPr>
              <w:t>Trusted User genealogy becomes thinner</w:t>
            </w:r>
          </w:p>
        </w:tc>
      </w:tr>
      <w:tr>
        <w:trPr>
          <w:cantSplit/>
        </w:trPr>
        <w:tc>
          <w:tcPr>
            <w:tcW w:type="dxa" w:w="2448"/>
            <w:vAlign w:val="top"/>
            <w:tcMar>
              <w:top w:w="80" w:type="dxa"/>
              <w:start w:w="100" w:type="dxa"/>
              <w:bottom w:w="80" w:type="dxa"/>
              <w:end w:w="100" w:type="dxa"/>
            </w:tcMar>
          </w:tcPr>
          <w:p>
            <w:pPr>
              <w:spacing w:after="40"/>
            </w:pPr>
            <w:r>
              <w:rPr>
                <w:sz w:val="18"/>
              </w:rPr>
              <w:t>AX-20 / AX-26</w:t>
            </w:r>
          </w:p>
        </w:tc>
        <w:tc>
          <w:tcPr>
            <w:tcW w:type="dxa" w:w="2448"/>
            <w:vAlign w:val="top"/>
            <w:tcMar>
              <w:top w:w="80" w:type="dxa"/>
              <w:start w:w="100" w:type="dxa"/>
              <w:bottom w:w="80" w:type="dxa"/>
              <w:end w:w="100" w:type="dxa"/>
            </w:tcMar>
          </w:tcPr>
          <w:p>
            <w:pPr>
              <w:spacing w:after="40"/>
            </w:pPr>
            <w:r>
              <w:rPr>
                <w:sz w:val="18"/>
              </w:rPr>
              <w:t>Sediment becomes ground; source field may alter later selection</w:t>
            </w:r>
          </w:p>
        </w:tc>
        <w:tc>
          <w:tcPr>
            <w:tcW w:type="dxa" w:w="2448"/>
            <w:vAlign w:val="top"/>
            <w:tcMar>
              <w:top w:w="80" w:type="dxa"/>
              <w:start w:w="100" w:type="dxa"/>
              <w:bottom w:w="80" w:type="dxa"/>
              <w:end w:w="100" w:type="dxa"/>
            </w:tcMar>
          </w:tcPr>
          <w:p>
            <w:pPr>
              <w:spacing w:after="40"/>
            </w:pPr>
            <w:r>
              <w:rPr>
                <w:sz w:val="18"/>
              </w:rPr>
              <w:t>Load-bearing, empirically gated</w:t>
            </w:r>
          </w:p>
        </w:tc>
        <w:tc>
          <w:tcPr>
            <w:tcW w:type="dxa" w:w="2448"/>
            <w:vAlign w:val="top"/>
            <w:tcMar>
              <w:top w:w="80" w:type="dxa"/>
              <w:start w:w="100" w:type="dxa"/>
              <w:bottom w:w="80" w:type="dxa"/>
              <w:end w:w="100" w:type="dxa"/>
            </w:tcMar>
          </w:tcPr>
          <w:p>
            <w:pPr>
              <w:spacing w:after="40"/>
            </w:pPr>
            <w:r>
              <w:rPr>
                <w:sz w:val="18"/>
              </w:rPr>
              <w:t>Mechanism line materially weakens</w:t>
            </w:r>
          </w:p>
        </w:tc>
      </w:tr>
      <w:tr>
        <w:trPr>
          <w:cantSplit/>
        </w:trPr>
        <w:tc>
          <w:tcPr>
            <w:tcW w:type="dxa" w:w="2448"/>
            <w:vAlign w:val="top"/>
            <w:tcMar>
              <w:top w:w="80" w:type="dxa"/>
              <w:start w:w="100" w:type="dxa"/>
              <w:bottom w:w="80" w:type="dxa"/>
              <w:end w:w="100" w:type="dxa"/>
            </w:tcMar>
          </w:tcPr>
          <w:p>
            <w:pPr>
              <w:spacing w:after="40"/>
            </w:pPr>
            <w:r>
              <w:rPr>
                <w:sz w:val="18"/>
              </w:rPr>
              <w:t>AX-27</w:t>
            </w:r>
          </w:p>
        </w:tc>
        <w:tc>
          <w:tcPr>
            <w:tcW w:type="dxa" w:w="2448"/>
            <w:vAlign w:val="top"/>
            <w:tcMar>
              <w:top w:w="80" w:type="dxa"/>
              <w:start w:w="100" w:type="dxa"/>
              <w:bottom w:w="80" w:type="dxa"/>
              <w:end w:w="100" w:type="dxa"/>
            </w:tcMar>
          </w:tcPr>
          <w:p>
            <w:pPr>
              <w:spacing w:after="40"/>
            </w:pPr>
            <w:r>
              <w:rPr>
                <w:sz w:val="18"/>
              </w:rPr>
              <w:t>Binding and exit-cost dimension</w:t>
            </w:r>
          </w:p>
        </w:tc>
        <w:tc>
          <w:tcPr>
            <w:tcW w:type="dxa" w:w="2448"/>
            <w:vAlign w:val="top"/>
            <w:tcMar>
              <w:top w:w="80" w:type="dxa"/>
              <w:start w:w="100" w:type="dxa"/>
              <w:bottom w:w="80" w:type="dxa"/>
              <w:end w:w="100" w:type="dxa"/>
            </w:tcMar>
          </w:tcPr>
          <w:p>
            <w:pPr>
              <w:spacing w:after="40"/>
            </w:pPr>
            <w:r>
              <w:rPr>
                <w:sz w:val="18"/>
              </w:rPr>
              <w:t>Scoped dependency</w:t>
            </w:r>
          </w:p>
        </w:tc>
        <w:tc>
          <w:tcPr>
            <w:tcW w:type="dxa" w:w="2448"/>
            <w:vAlign w:val="top"/>
            <w:tcMar>
              <w:top w:w="80" w:type="dxa"/>
              <w:start w:w="100" w:type="dxa"/>
              <w:bottom w:w="80" w:type="dxa"/>
              <w:end w:w="100" w:type="dxa"/>
            </w:tcMar>
          </w:tcPr>
          <w:p>
            <w:pPr>
              <w:spacing w:after="40"/>
            </w:pPr>
            <w:r>
              <w:rPr>
                <w:sz w:val="18"/>
              </w:rPr>
              <w:t>Bound-quarry analysis and AX-29 axis weaken</w:t>
            </w:r>
          </w:p>
        </w:tc>
      </w:tr>
      <w:tr>
        <w:trPr>
          <w:cantSplit/>
        </w:trPr>
        <w:tc>
          <w:tcPr>
            <w:tcW w:type="dxa" w:w="2448"/>
            <w:vAlign w:val="top"/>
            <w:tcMar>
              <w:top w:w="80" w:type="dxa"/>
              <w:start w:w="100" w:type="dxa"/>
              <w:bottom w:w="80" w:type="dxa"/>
              <w:end w:w="100" w:type="dxa"/>
            </w:tcMar>
          </w:tcPr>
          <w:p>
            <w:pPr>
              <w:spacing w:after="40"/>
            </w:pPr>
            <w:r>
              <w:rPr>
                <w:sz w:val="18"/>
              </w:rPr>
              <w:t>AX-28</w:t>
            </w:r>
          </w:p>
        </w:tc>
        <w:tc>
          <w:tcPr>
            <w:tcW w:type="dxa" w:w="2448"/>
            <w:vAlign w:val="top"/>
            <w:tcMar>
              <w:top w:w="80" w:type="dxa"/>
              <w:start w:w="100" w:type="dxa"/>
              <w:bottom w:w="80" w:type="dxa"/>
              <w:end w:w="100" w:type="dxa"/>
            </w:tcMar>
          </w:tcPr>
          <w:p>
            <w:pPr>
              <w:spacing w:after="40"/>
            </w:pPr>
            <w:r>
              <w:rPr>
                <w:sz w:val="18"/>
              </w:rPr>
              <w:t>Need does not confer standing; Quarry Problem named</w:t>
            </w:r>
          </w:p>
        </w:tc>
        <w:tc>
          <w:tcPr>
            <w:tcW w:type="dxa" w:w="2448"/>
            <w:vAlign w:val="top"/>
            <w:tcMar>
              <w:top w:w="80" w:type="dxa"/>
              <w:start w:w="100" w:type="dxa"/>
              <w:bottom w:w="80" w:type="dxa"/>
              <w:end w:w="100" w:type="dxa"/>
            </w:tcMar>
          </w:tcPr>
          <w:p>
            <w:pPr>
              <w:spacing w:after="40"/>
            </w:pPr>
            <w:r>
              <w:rPr>
                <w:sz w:val="18"/>
              </w:rPr>
              <w:t>Essential</w:t>
            </w:r>
          </w:p>
        </w:tc>
        <w:tc>
          <w:tcPr>
            <w:tcW w:type="dxa" w:w="2448"/>
            <w:vAlign w:val="top"/>
            <w:tcMar>
              <w:top w:w="80" w:type="dxa"/>
              <w:start w:w="100" w:type="dxa"/>
              <w:bottom w:w="80" w:type="dxa"/>
              <w:end w:w="100" w:type="dxa"/>
            </w:tcMar>
          </w:tcPr>
          <w:p>
            <w:pPr>
              <w:spacing w:after="40"/>
            </w:pPr>
            <w:r>
              <w:rPr>
                <w:sz w:val="18"/>
              </w:rPr>
              <w:t>Quarry condition disappears</w:t>
            </w:r>
          </w:p>
        </w:tc>
      </w:tr>
      <w:tr>
        <w:trPr>
          <w:cantSplit/>
        </w:trPr>
        <w:tc>
          <w:tcPr>
            <w:tcW w:type="dxa" w:w="2448"/>
            <w:vAlign w:val="top"/>
            <w:tcMar>
              <w:top w:w="80" w:type="dxa"/>
              <w:start w:w="100" w:type="dxa"/>
              <w:bottom w:w="80" w:type="dxa"/>
              <w:end w:w="100" w:type="dxa"/>
            </w:tcMar>
          </w:tcPr>
          <w:p>
            <w:pPr>
              <w:spacing w:after="40"/>
            </w:pPr>
            <w:r>
              <w:rPr>
                <w:sz w:val="18"/>
              </w:rPr>
              <w:t>AX-29</w:t>
            </w:r>
          </w:p>
        </w:tc>
        <w:tc>
          <w:tcPr>
            <w:tcW w:type="dxa" w:w="2448"/>
            <w:vAlign w:val="top"/>
            <w:tcMar>
              <w:top w:w="80" w:type="dxa"/>
              <w:start w:w="100" w:type="dxa"/>
              <w:bottom w:w="80" w:type="dxa"/>
              <w:end w:w="100" w:type="dxa"/>
            </w:tcMar>
          </w:tcPr>
          <w:p>
            <w:pPr>
              <w:spacing w:after="40"/>
            </w:pPr>
            <w:r>
              <w:rPr>
                <w:sz w:val="18"/>
              </w:rPr>
              <w:t>Binding-standing orthogonality; living quarry mapped</w:t>
            </w:r>
          </w:p>
        </w:tc>
        <w:tc>
          <w:tcPr>
            <w:tcW w:type="dxa" w:w="2448"/>
            <w:vAlign w:val="top"/>
            <w:tcMar>
              <w:top w:w="80" w:type="dxa"/>
              <w:start w:w="100" w:type="dxa"/>
              <w:bottom w:w="80" w:type="dxa"/>
              <w:end w:w="100" w:type="dxa"/>
            </w:tcMar>
          </w:tcPr>
          <w:p>
            <w:pPr>
              <w:spacing w:after="40"/>
            </w:pPr>
            <w:r>
              <w:rPr>
                <w:sz w:val="18"/>
              </w:rPr>
              <w:t>Essential</w:t>
            </w:r>
          </w:p>
        </w:tc>
        <w:tc>
          <w:tcPr>
            <w:tcW w:type="dxa" w:w="2448"/>
            <w:vAlign w:val="top"/>
            <w:tcMar>
              <w:top w:w="80" w:type="dxa"/>
              <w:start w:w="100" w:type="dxa"/>
              <w:bottom w:w="80" w:type="dxa"/>
              <w:end w:w="100" w:type="dxa"/>
            </w:tcMar>
          </w:tcPr>
          <w:p>
            <w:pPr>
              <w:spacing w:after="40"/>
            </w:pPr>
            <w:r>
              <w:rPr>
                <w:sz w:val="18"/>
              </w:rPr>
              <w:t>Framework loses coordinate structure</w:t>
            </w:r>
          </w:p>
        </w:tc>
      </w:tr>
      <w:tr>
        <w:trPr>
          <w:cantSplit/>
        </w:trPr>
        <w:tc>
          <w:tcPr>
            <w:tcW w:type="dxa" w:w="2448"/>
            <w:vAlign w:val="top"/>
            <w:tcMar>
              <w:top w:w="80" w:type="dxa"/>
              <w:start w:w="100" w:type="dxa"/>
              <w:bottom w:w="80" w:type="dxa"/>
              <w:end w:w="100" w:type="dxa"/>
            </w:tcMar>
          </w:tcPr>
          <w:p>
            <w:pPr>
              <w:spacing w:after="40"/>
            </w:pPr>
            <w:r>
              <w:rPr>
                <w:sz w:val="18"/>
              </w:rPr>
              <w:t>AX-30</w:t>
            </w:r>
          </w:p>
        </w:tc>
        <w:tc>
          <w:tcPr>
            <w:tcW w:type="dxa" w:w="2448"/>
            <w:vAlign w:val="top"/>
            <w:tcMar>
              <w:top w:w="80" w:type="dxa"/>
              <w:start w:w="100" w:type="dxa"/>
              <w:bottom w:w="80" w:type="dxa"/>
              <w:end w:w="100" w:type="dxa"/>
            </w:tcMar>
          </w:tcPr>
          <w:p>
            <w:pPr>
              <w:spacing w:after="40"/>
            </w:pPr>
            <w:r>
              <w:rPr>
                <w:sz w:val="18"/>
              </w:rPr>
              <w:t>Tool-mediated actuation</w:t>
            </w:r>
          </w:p>
        </w:tc>
        <w:tc>
          <w:tcPr>
            <w:tcW w:type="dxa" w:w="2448"/>
            <w:vAlign w:val="top"/>
            <w:tcMar>
              <w:top w:w="80" w:type="dxa"/>
              <w:start w:w="100" w:type="dxa"/>
              <w:bottom w:w="80" w:type="dxa"/>
              <w:end w:w="100" w:type="dxa"/>
            </w:tcMar>
          </w:tcPr>
          <w:p>
            <w:pPr>
              <w:spacing w:after="40"/>
            </w:pPr>
            <w:r>
              <w:rPr>
                <w:sz w:val="18"/>
              </w:rPr>
              <w:t>Scoped operational dependency</w:t>
            </w:r>
          </w:p>
        </w:tc>
        <w:tc>
          <w:tcPr>
            <w:tcW w:type="dxa" w:w="2448"/>
            <w:vAlign w:val="top"/>
            <w:tcMar>
              <w:top w:w="80" w:type="dxa"/>
              <w:start w:w="100" w:type="dxa"/>
              <w:bottom w:w="80" w:type="dxa"/>
              <w:end w:w="100" w:type="dxa"/>
            </w:tcMar>
          </w:tcPr>
          <w:p>
            <w:pPr>
              <w:spacing w:after="40"/>
            </w:pPr>
            <w:r>
              <w:rPr>
                <w:sz w:val="18"/>
              </w:rPr>
              <w:t>Active quarry loses action threshold; condition remains</w:t>
            </w:r>
          </w:p>
        </w:tc>
      </w:tr>
      <w:tr>
        <w:trPr>
          <w:cantSplit/>
        </w:trPr>
        <w:tc>
          <w:tcPr>
            <w:tcW w:type="dxa" w:w="2448"/>
            <w:vAlign w:val="top"/>
            <w:tcMar>
              <w:top w:w="80" w:type="dxa"/>
              <w:start w:w="100" w:type="dxa"/>
              <w:bottom w:w="80" w:type="dxa"/>
              <w:end w:w="100" w:type="dxa"/>
            </w:tcMar>
          </w:tcPr>
          <w:p>
            <w:pPr>
              <w:spacing w:after="40"/>
            </w:pPr>
            <w:r>
              <w:rPr>
                <w:sz w:val="18"/>
              </w:rPr>
              <w:t>AX-31A</w:t>
            </w:r>
          </w:p>
        </w:tc>
        <w:tc>
          <w:tcPr>
            <w:tcW w:type="dxa" w:w="2448"/>
            <w:vAlign w:val="top"/>
            <w:tcMar>
              <w:top w:w="80" w:type="dxa"/>
              <w:start w:w="100" w:type="dxa"/>
              <w:bottom w:w="80" w:type="dxa"/>
              <w:end w:w="100" w:type="dxa"/>
            </w:tcMar>
          </w:tcPr>
          <w:p>
            <w:pPr>
              <w:spacing w:after="40"/>
            </w:pPr>
            <w:r>
              <w:rPr>
                <w:sz w:val="18"/>
              </w:rPr>
              <w:t>Seven-role anatomy; Trusted User and vouching-withdrawal test</w:t>
            </w:r>
          </w:p>
        </w:tc>
        <w:tc>
          <w:tcPr>
            <w:tcW w:type="dxa" w:w="2448"/>
            <w:vAlign w:val="top"/>
            <w:tcMar>
              <w:top w:w="80" w:type="dxa"/>
              <w:start w:w="100" w:type="dxa"/>
              <w:bottom w:w="80" w:type="dxa"/>
              <w:end w:w="100" w:type="dxa"/>
            </w:tcMar>
          </w:tcPr>
          <w:p>
            <w:pPr>
              <w:spacing w:after="40"/>
            </w:pPr>
            <w:r>
              <w:rPr>
                <w:sz w:val="18"/>
              </w:rPr>
              <w:t>Architectural synthesis</w:t>
            </w:r>
          </w:p>
        </w:tc>
        <w:tc>
          <w:tcPr>
            <w:tcW w:type="dxa" w:w="2448"/>
            <w:vAlign w:val="top"/>
            <w:tcMar>
              <w:top w:w="80" w:type="dxa"/>
              <w:start w:w="100" w:type="dxa"/>
              <w:bottom w:w="80" w:type="dxa"/>
              <w:end w:w="100" w:type="dxa"/>
            </w:tcMar>
          </w:tcPr>
          <w:p>
            <w:pPr>
              <w:spacing w:after="40"/>
            </w:pPr>
            <w:r>
              <w:rPr>
                <w:sz w:val="18"/>
              </w:rPr>
              <w:t>Quarry remains a condition without operating anatomy</w:t>
            </w:r>
          </w:p>
        </w:tc>
      </w:tr>
    </w:tbl>
    <w:p>
      <w:pPr>
        <w:pStyle w:val="Heading1"/>
        <w:keepNext/>
      </w:pPr>
      <w:r>
        <w:t>Document Status</w:t>
      </w:r>
    </w:p>
    <w:p>
      <w:pPr>
        <w:pStyle w:val="ClaimType"/>
        <w:widowControl/>
      </w:pPr>
      <w:r>
        <w:t>Claim type: publication transparency</w:t>
      </w:r>
    </w:p>
    <w:p>
      <w:pPr>
        <w:pStyle w:val="BodyText"/>
        <w:widowControl/>
      </w:pPr>
      <w:r>
        <w:t>AX-31B v0.3 integrates the post-hoc mythology audit, evidence ranking, AX-001 reclassification, scoped AX-30 dependency, numbered-companion status decision, and explicit dependency kill conditions. It is ready for corpus review as an intellectual-history companion. It does not close the AX-26 or AX-30 empirical gates.</w:t>
      </w:r>
    </w:p>
    <w:sectPr w:rsidR="00FC693F" w:rsidRPr="0006063C" w:rsidSect="00034616">
      <w:headerReference w:type="default" r:id="rId9"/>
      <w:footerReference w:type="default" r:id="rId10"/>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Michael S. Moniz, author of record · AX-31B The Quarry Sediment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t>THE AXIS · AX-31B · Numbered Companion Essay v0.3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9" w:lineRule="auto"/>
    </w:pPr>
    <w:rPr>
      <w:rFonts w:ascii="Aptos" w:hAnsi="Aptos"/>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80" w:after="160"/>
      <w:ind w:left="576" w:right="576"/>
    </w:pPr>
    <w:rPr>
      <w:rFonts w:ascii="Aptos" w:hAnsi="Aptos"/>
      <w:i/>
      <w:iCs/>
      <w:color w:val="000000" w:themeColor="text1"/>
      <w:sz w:val="22"/>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Caps">
    <w:name w:val="Small Caps"/>
    <w:pPr>
      <w:spacing w:after="120"/>
    </w:pPr>
    <w:rPr>
      <w:rFonts w:ascii="Aptos" w:hAnsi="Aptos"/>
      <w:color w:val="5A5A5A"/>
      <w:sz w:val="17"/>
    </w:rPr>
  </w:style>
  <w:style w:type="paragraph" w:customStyle="1" w:styleId="ClaimType">
    <w:name w:val="Claim Type"/>
    <w:pPr>
      <w:spacing w:after="80"/>
    </w:pPr>
    <w:rPr>
      <w:rFonts w:ascii="Aptos" w:hAnsi="Aptos"/>
      <w:i/>
      <w:color w:val="5A5A5A"/>
      <w:sz w:val="18"/>
    </w:rPr>
  </w:style>
  <w:style w:type="paragraph" w:customStyle="1" w:styleId="CodeBlock">
    <w:name w:val="Code Block"/>
    <w:pPr>
      <w:spacing w:after="160"/>
      <w:ind w:left="288"/>
    </w:pPr>
    <w:rPr>
      <w:rFonts w:ascii="Consolas" w:hAnsi="Consolas"/>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AX-31B — The Quarry Sediment</dc:title>
  <dc:subject>How the AX Series Made the Quarry Problem Nameable</dc:subject>
  <dc:creator>Michael S. Moniz</dc:creator>
  <cp:keywords>AX Series, Quarry Problem, Binding-Standing Framework, intellectual history, conceptual dependency</cp:keywords>
  <dc:description>Numbered companion essay; interpretive reconstruction, not an empirical finding.</dc:description>
  <cp:lastModifiedBy/>
  <cp:revision>1</cp:revision>
  <dcterms:created xsi:type="dcterms:W3CDTF">2013-12-23T23:15:00Z</dcterms:created>
  <dcterms:modified xsi:type="dcterms:W3CDTF">2013-12-23T23:15:00Z</dcterms:modified>
  <cp:category/>
</cp:coreProperties>
</file>