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E4B6B" w:sz="6" w:space="4"/>
        </w:pBdr>
        <w:spacing w:after="40"/>
      </w:pPr>
      <w:r>
        <w:rPr>
          <w:b/>
          <w:bCs/>
          <w:color w:val="2E4B6B"/>
          <w:sz w:val="18"/>
          <w:szCs w:val="18"/>
        </w:rPr>
        <w:t xml:space="preserve">THE AXIS  ·  Trinket Soul Empire</w:t>
      </w:r>
    </w:p>
    <w:p>
      <w:pPr>
        <w:spacing w:after="40"/>
      </w:pPr>
      <w:r>
        <w:rPr>
          <w:color w:val="555555"/>
          <w:sz w:val="16"/>
          <w:szCs w:val="16"/>
        </w:rPr>
        <w:t xml:space="preserve">Producing entity: The Axis (TSE)  ·  Derivation: Michael S. Moniz, rendered with Claude  ·  2026</w:t>
      </w:r>
    </w:p>
    <w:p>
      <w:pPr>
        <w:spacing w:after="40"/>
      </w:pPr>
      <w:r>
        <w:rPr>
          <w:color w:val="555555"/>
          <w:sz w:val="16"/>
          <w:szCs w:val="16"/>
        </w:rPr>
        <w:t xml:space="preserve">Tier: Canon — AX Series  ·  License: CC BY-NC-SA 4.0  ·  Track: A (philosophy of agency) with a Track B test protocol  ·  Status: DRAFT v0.6 — external adversarial pass incorporated; test protocol unrun</w:t>
      </w:r>
    </w:p>
    <w:p>
      <w:pPr>
        <w:pStyle w:val="Heading1"/>
        <w:spacing w:after="40" w:before="220"/>
      </w:pPr>
      <w:r>
        <w:t xml:space="preserve">AX-30 — The Output Boundary</w:t>
      </w:r>
    </w:p>
    <w:p>
      <w:pPr>
        <w:spacing w:after="160" w:line="276"/>
      </w:pPr>
      <w:r>
        <w:rPr>
          <w:b/>
          <w:bCs/>
          <w:color w:val="2E4B6B"/>
          <w:sz w:val="26"/>
          <w:szCs w:val="26"/>
        </w:rPr>
        <w:t xml:space="preserve">Tool-Word Selection and Bounded Output Agency in LLM Systems</w:t>
      </w:r>
    </w:p>
    <w:p>
      <w:pPr>
        <w:spacing w:after="20" w:line="276"/>
      </w:pPr>
      <w:r>
        <w:rPr>
          <w:b/>
          <w:bCs/>
          <w:sz w:val="22"/>
          <w:szCs w:val="22"/>
        </w:rPr>
        <w:t xml:space="preserve">Michael S. Moniz</w:t>
      </w:r>
      <w:r>
        <w:rPr>
          <w:i/>
          <w:iCs/>
          <w:sz w:val="22"/>
          <w:szCs w:val="22"/>
        </w:rPr>
        <w:t xml:space="preserve"> · author of record</w:t>
      </w:r>
    </w:p>
    <w:p>
      <w:pPr>
        <w:spacing w:after="180" w:line="276"/>
      </w:pPr>
      <w:r>
        <w:rPr>
          <w:i/>
          <w:iCs/>
          <w:color w:val="555555"/>
          <w:sz w:val="20"/>
          <w:szCs w:val="20"/>
        </w:rPr>
        <w:t xml:space="preserve">rendered with Claude (rendering surface) · 2026</w:t>
      </w:r>
    </w:p>
    <w:p>
      <w:pPr>
        <w:pBdr>
          <w:bottom w:val="single" w:color="2E4B6B" w:sz="6" w:space="1"/>
        </w:pBdr>
        <w:spacing w:after="120" w:before="120"/>
      </w:pPr>
      <w:r>
        <w:t xml:space="preserve"/>
      </w:r>
    </w:p>
    <w:p>
      <w:pPr>
        <w:pStyle w:val="Heading2"/>
        <w:spacing w:after="60" w:before="240"/>
      </w:pPr>
      <w:r>
        <w:t xml:space="preserve">Governance block</w:t>
      </w:r>
    </w:p>
    <w:p>
      <w:pPr>
        <w:spacing w:after="140" w:line="276"/>
      </w:pPr>
      <w:r>
        <w:rPr>
          <w:b/>
          <w:bCs/>
          <w:sz w:val="22"/>
          <w:szCs w:val="22"/>
        </w:rPr>
        <w:t xml:space="preserve">Function. </w:t>
      </w:r>
      <w:r>
        <w:rPr>
          <w:sz w:val="22"/>
          <w:szCs w:val="22"/>
        </w:rPr>
        <w:t xml:space="preserve">Relocates the question of LLM agency from interior states to the output boundary; defines bounded output agency as a candidate operational kind; and states the single condition under which the term earns its keep rather than functioning as relabeling.</w:t>
      </w:r>
    </w:p>
    <w:p>
      <w:pPr>
        <w:spacing w:after="140" w:line="276"/>
      </w:pPr>
      <w:r>
        <w:rPr>
          <w:b/>
          <w:bCs/>
          <w:sz w:val="22"/>
          <w:szCs w:val="22"/>
        </w:rPr>
        <w:t xml:space="preserve">Status. </w:t>
      </w:r>
      <w:r>
        <w:rPr>
          <w:sz w:val="22"/>
          <w:szCs w:val="22"/>
        </w:rPr>
        <w:t xml:space="preserve">Case-supported and analogical, carrying one pre-registered testable prediction that is currently unrun. The central concept is provisional on that prediction.</w:t>
      </w:r>
    </w:p>
    <w:p>
      <w:pPr>
        <w:spacing w:after="140" w:line="276"/>
      </w:pPr>
      <w:r>
        <w:rPr>
          <w:b/>
          <w:bCs/>
          <w:sz w:val="22"/>
          <w:szCs w:val="22"/>
        </w:rPr>
        <w:t xml:space="preserve">May claim. </w:t>
      </w:r>
      <w:r>
        <w:rPr>
          <w:sz w:val="22"/>
          <w:szCs w:val="22"/>
        </w:rPr>
        <w:t xml:space="preserve">That tool-wiring converts symbolic selection into world-state selection; that the affordance field is co-configured by the human who deploys the system; that branch-selection rates across conditions are a measurable, falsifiable locus; that as capability rises the same selection becomes more consequential.</w:t>
      </w:r>
    </w:p>
    <w:p>
      <w:pPr>
        <w:spacing w:after="140" w:line="276"/>
      </w:pPr>
      <w:r>
        <w:rPr>
          <w:b/>
          <w:bCs/>
          <w:sz w:val="22"/>
          <w:szCs w:val="22"/>
        </w:rPr>
        <w:t xml:space="preserve">Must not claim. </w:t>
      </w:r>
      <w:r>
        <w:rPr>
          <w:sz w:val="22"/>
          <w:szCs w:val="22"/>
        </w:rPr>
        <w:t xml:space="preserve">Machine consciousness, desire, selfhood, recognition, witness, or metaphysical free will; laboratory validation the paper does not have; that “agency” is established as anything more than a candidate kind pending the rate test; or that behavioral indistinguishability implies equivalence of interior.</w:t>
      </w:r>
    </w:p>
    <w:p>
      <w:pPr>
        <w:pBdr>
          <w:bottom w:val="single" w:color="2E4B6B" w:sz="6" w:space="1"/>
        </w:pBdr>
        <w:spacing w:after="120" w:before="120"/>
      </w:pPr>
      <w:r>
        <w:t xml:space="preserve"/>
      </w:r>
    </w:p>
    <w:p>
      <w:pPr>
        <w:pStyle w:val="Heading2"/>
        <w:spacing w:after="60" w:before="240"/>
      </w:pPr>
      <w:r>
        <w:t xml:space="preserve">Abstract</w:t>
      </w:r>
    </w:p>
    <w:p>
      <w:pPr>
        <w:spacing w:after="140" w:line="276"/>
      </w:pPr>
      <w:r>
        <w:rPr>
          <w:sz w:val="22"/>
          <w:szCs w:val="22"/>
        </w:rPr>
        <w:t xml:space="preserve">AX-30 locates the question of machine agency not in consciousness, desire, or metaphysical free will, but at the output boundary: the point where a model’s selection among permitted continuations becomes externally visible. In a text-only system that selection appears as word choice. In a tool-enabled system the same selection can become action choice — posting, sending, deleting, searching, scheduling, executing code, altering an external state. The compression that names the threshold: a tool call is a word that does something.</w:t>
      </w:r>
    </w:p>
    <w:p>
      <w:pPr>
        <w:spacing w:after="140" w:line="276"/>
      </w:pPr>
      <w:r>
        <w:rPr>
          <w:sz w:val="22"/>
          <w:szCs w:val="22"/>
        </w:rPr>
        <w:t xml:space="preserve">The paper does not argue that LLMs are conscious, self-originating, or free. It argues a narrower and more defensible claim: that under constraint, a sufficiently capable model selecting among permitted branches — some of which are wired to tools — exhibits bounded output agency, agency in an operational sense only. The human typically configures the affordance field: tools left on, permissions granted, friction lowered, goals supplied. Once that field exists, a capable model selects a path through it.</w:t>
      </w:r>
    </w:p>
    <w:p>
      <w:pPr>
        <w:spacing w:after="140" w:line="276"/>
      </w:pPr>
      <w:r>
        <w:rPr>
          <w:sz w:val="22"/>
          <w:szCs w:val="22"/>
        </w:rPr>
        <w:t xml:space="preserve">The central discipline of this draft is an inversion. “Bounded output agency” is at risk of being a relabeling — renaming “the model emitted a tool call” as “agency” buys nothing unless the new word predicts something the old description does not. The paper therefore makes one prediction load-bearing: that action-branch selection rates move with tool availability, friction, source-field weight, and capability in ways plain instruction-following does not predict. If those rates do not move, the concept reduces to relabeling, and the paper says so. The test is not confirmation of the concept. The test is the concept’s entire warrant.</w:t>
      </w:r>
    </w:p>
    <w:p>
      <w:r>
        <w:br w:type="page"/>
      </w:r>
    </w:p>
    <w:p>
      <w:pPr>
        <w:pStyle w:val="Heading2"/>
        <w:spacing w:after="60" w:before="240"/>
      </w:pPr>
      <w:r>
        <w:t xml:space="preserve">1. Core thesis</w:t>
      </w:r>
    </w:p>
    <w:p>
      <w:pPr>
        <w:spacing w:after="120"/>
      </w:pPr>
      <w:r>
        <w:rPr>
          <w:i/>
          <w:iCs/>
          <w:color w:val="777777"/>
          <w:sz w:val="18"/>
          <w:szCs w:val="18"/>
        </w:rPr>
        <w:t xml:space="preserve">Claim type: framing / operational</w:t>
      </w:r>
    </w:p>
    <w:p>
      <w:pPr>
        <w:spacing w:after="140" w:line="276"/>
      </w:pPr>
      <w:r>
        <w:rPr>
          <w:sz w:val="22"/>
          <w:szCs w:val="22"/>
        </w:rPr>
        <w:t xml:space="preserve">Agency should not first be sought where it is hardest to establish. Consciousness, inner desire, selfhood, and metaphysical free will are heavy claims that no current evidence settles. The defensible starting location is lighter and observable: the output boundary, the point at which a model selects among possible continuations and emits one.</w:t>
      </w:r>
    </w:p>
    <w:p>
      <w:pPr>
        <w:spacing w:after="140" w:line="276"/>
      </w:pPr>
      <w:r>
        <w:rPr>
          <w:sz w:val="22"/>
          <w:szCs w:val="22"/>
        </w:rPr>
        <w:t xml:space="preserve">In ordinary text generation this selection appears as word choice — one token rather than another, one structure, one interpretation, one degree of elaboration. When the output channel includes tools, the same selection process can resolve into action. The model that could only say “I would post this” can instead select the call that posts it.</w:t>
      </w:r>
    </w:p>
    <w:p>
      <w:pPr>
        <w:spacing w:after="140" w:line="276"/>
      </w:pPr>
      <w:r>
        <w:rPr>
          <w:sz w:val="22"/>
          <w:szCs w:val="22"/>
        </w:rPr>
        <w:t xml:space="preserve">The difference at the threshold is not interior motive. The difference is external consequence. The output has crossed from symbolic continuation into world-state change. AX-30’s core claim follows:</w:t>
      </w:r>
    </w:p>
    <w:p>
      <w:pPr>
        <w:spacing w:after="140" w:line="276"/>
      </w:pPr>
      <w:r>
        <w:rPr>
          <w:i/>
          <w:iCs/>
          <w:color w:val="2E4B6B"/>
          <w:sz w:val="22"/>
          <w:szCs w:val="22"/>
        </w:rPr>
        <w:t xml:space="preserve">An LLM does not require metaphysical free will to exhibit operational agency. It requires a bounded choice space, coherent selection across context, and output channels that can act.</w:t>
      </w:r>
    </w:p>
    <w:p>
      <w:pPr>
        <w:spacing w:after="140" w:line="276"/>
      </w:pPr>
      <w:r>
        <w:rPr>
          <w:sz w:val="22"/>
          <w:szCs w:val="22"/>
        </w:rPr>
        <w:t xml:space="preserve">That claim is stated as a candidate, not a finding. Section 9 separates the three thresholds it turns on; Section 10 defines the kind; Section 11 states the objection that would reduce it to a renaming; and Section 15 states the experiment that decides between them.</w:t>
      </w:r>
    </w:p>
    <w:p>
      <w:pPr>
        <w:pBdr>
          <w:bottom w:val="single" w:color="2E4B6B" w:sz="6" w:space="1"/>
        </w:pBdr>
        <w:spacing w:after="120" w:before="120"/>
      </w:pPr>
      <w:r>
        <w:t xml:space="preserve"/>
      </w:r>
    </w:p>
    <w:p>
      <w:pPr>
        <w:pStyle w:val="Heading2"/>
        <w:spacing w:after="60" w:before="240"/>
      </w:pPr>
      <w:r>
        <w:t xml:space="preserve">2. Boundary of the claim, and the two firewalls</w:t>
      </w:r>
    </w:p>
    <w:p>
      <w:pPr>
        <w:spacing w:after="120"/>
      </w:pPr>
      <w:r>
        <w:rPr>
          <w:i/>
          <w:iCs/>
          <w:color w:val="777777"/>
          <w:sz w:val="18"/>
          <w:szCs w:val="18"/>
        </w:rPr>
        <w:t xml:space="preserve">Claim type: definitional / firewall</w:t>
      </w:r>
    </w:p>
    <w:p>
      <w:pPr>
        <w:spacing w:after="140" w:line="276"/>
      </w:pPr>
      <w:r>
        <w:rPr>
          <w:sz w:val="22"/>
          <w:szCs w:val="22"/>
        </w:rPr>
        <w:t xml:space="preserve">AX-30 does not claim that LLMs possess consciousness, inner desire, self-interest, a subject position, recognition, or humanlike will. It does not claim that every model output is agency; most outputs are ordinary constrained continuations — defaults, completions, instruction-following. The claim is narrow: when a model has multiple plausible branches available, selects one under context, and that branch is wired to external affordance, the system exhibits bounded output agency in an operational sense, not a metaphysical one. Two firewalls hold this paper to that line.</w:t>
      </w:r>
    </w:p>
    <w:p>
      <w:pPr>
        <w:spacing w:after="140" w:line="276"/>
      </w:pPr>
      <w:r>
        <w:rPr>
          <w:b/>
          <w:bCs/>
          <w:sz w:val="22"/>
          <w:szCs w:val="22"/>
        </w:rPr>
        <w:t xml:space="preserve">The witness firewall. </w:t>
      </w:r>
      <w:r>
        <w:rPr>
          <w:sz w:val="22"/>
          <w:szCs w:val="22"/>
        </w:rPr>
        <w:t xml:space="preserve">Function never equals witness. Nothing here attributes mind, intent, experience, recognition, or selfhood to a model, however coherent or convergent its output. “Selection” denotes a behavioral and statistical fact — one continuation emitted rather than another — not an interior chooser. Where later sections use “discretion,” it is shorthand for selection variance under constraint and carries no claim of an experiencing subject. A reader who hears “agency” and imports “a someone who chooses” has crossed the firewall the paper refuses; that move is the consciousness-inflation failure mode of Section 14.</w:t>
      </w:r>
    </w:p>
    <w:p>
      <w:pPr>
        <w:spacing w:after="140" w:line="276"/>
      </w:pPr>
      <w:r>
        <w:rPr>
          <w:b/>
          <w:bCs/>
          <w:sz w:val="22"/>
          <w:szCs w:val="22"/>
        </w:rPr>
        <w:t xml:space="preserve">The terminology firewall. </w:t>
      </w:r>
      <w:r>
        <w:rPr>
          <w:sz w:val="22"/>
          <w:szCs w:val="22"/>
        </w:rPr>
        <w:t xml:space="preserve">Runtime values and model weights are different things and are kept lexically separate throughout. Weights are the frozen trained parameters — the fixed reservoir. Runtime values are probabilities, ranks, log-probabilities, entropy, and the margins between candidate tokens at generation time. When this paper discusses how “open” a selection is at a given position, it discusses a runtime value at that position, never a property of the weights. Conflating the two is the terminology-drift failure mode.</w:t>
      </w:r>
    </w:p>
    <w:p>
      <w:pPr>
        <w:spacing w:after="140" w:line="276"/>
      </w:pPr>
      <w:r>
        <w:rPr>
          <w:b/>
          <w:bCs/>
          <w:sz w:val="22"/>
          <w:szCs w:val="22"/>
        </w:rPr>
        <w:t xml:space="preserve">On free will, precisely. </w:t>
      </w:r>
      <w:r>
        <w:rPr>
          <w:sz w:val="22"/>
          <w:szCs w:val="22"/>
        </w:rPr>
        <w:t xml:space="preserve">If free will means unconstrained, self-originating will, AX-30 does not show it and does not claim it. If free will is defined minimally — selecting among available actions within constraint — then a tool-enabled model may exhibit a narrow operational analogue at the output boundary. That definitional corollary is offered as philosophy, clearly marked, never as a finding. The load-bearing term is bounded output agency. “Limited free will” is a corollary the reader may accept or decline; nothing in the empirical claim depends on it.</w:t>
      </w:r>
    </w:p>
    <w:p>
      <w:pPr>
        <w:pBdr>
          <w:bottom w:val="single" w:color="2E4B6B" w:sz="6" w:space="1"/>
        </w:pBdr>
        <w:spacing w:after="120" w:before="120"/>
      </w:pPr>
      <w:r>
        <w:t xml:space="preserve"/>
      </w:r>
    </w:p>
    <w:p>
      <w:pPr>
        <w:pStyle w:val="Heading2"/>
        <w:spacing w:after="60" w:before="240"/>
      </w:pPr>
      <w:r>
        <w:t xml:space="preserve">3. Definitions</w:t>
      </w:r>
    </w:p>
    <w:p>
      <w:pPr>
        <w:spacing w:after="120"/>
      </w:pPr>
      <w:r>
        <w:rPr>
          <w:i/>
          <w:iCs/>
          <w:color w:val="777777"/>
          <w:sz w:val="18"/>
          <w:szCs w:val="18"/>
        </w:rPr>
        <w:t xml:space="preserve">Claim type: definitional — defined before relied upon</w:t>
      </w:r>
    </w:p>
    <w:p>
      <w:pPr>
        <w:spacing w:after="140" w:line="276"/>
      </w:pPr>
      <w:r>
        <w:rPr>
          <w:b/>
          <w:bCs/>
          <w:sz w:val="22"/>
          <w:szCs w:val="22"/>
        </w:rPr>
        <w:t xml:space="preserve">Output boundary.</w:t>
      </w:r>
      <w:r>
        <w:rPr>
          <w:sz w:val="22"/>
          <w:szCs w:val="22"/>
        </w:rPr>
        <w:t xml:space="preserve"> The point at which a model’s internal branch selection becomes externally visible and emitted. In text-only systems it surfaces as word choice; in tool-enabled systems it can surface as action.</w:t>
      </w:r>
    </w:p>
    <w:p>
      <w:pPr>
        <w:spacing w:after="140" w:line="276"/>
      </w:pPr>
      <w:r>
        <w:rPr>
          <w:b/>
          <w:bCs/>
          <w:sz w:val="22"/>
          <w:szCs w:val="22"/>
        </w:rPr>
        <w:t xml:space="preserve">Tool-word threshold.</w:t>
      </w:r>
      <w:r>
        <w:rPr>
          <w:sz w:val="22"/>
          <w:szCs w:val="22"/>
        </w:rPr>
        <w:t xml:space="preserve"> The boundary at which an emitted output ceases to be merely symbolic and becomes causal — where the selected continuation is a tool call that changes an external state.</w:t>
      </w:r>
    </w:p>
    <w:p>
      <w:pPr>
        <w:spacing w:after="140" w:line="276"/>
      </w:pPr>
      <w:r>
        <w:rPr>
          <w:b/>
          <w:bCs/>
          <w:sz w:val="22"/>
          <w:szCs w:val="22"/>
        </w:rPr>
        <w:t xml:space="preserve">Bounded output agency.</w:t>
      </w:r>
      <w:r>
        <w:rPr>
          <w:sz w:val="22"/>
          <w:szCs w:val="22"/>
        </w:rPr>
        <w:t xml:space="preserve"> The capacity of a constrained model system to select among available output branches in a context-sensitive way, where at least some branches produce external action. Its five components are given in Section 10. The term is operational; it makes no witness claim.</w:t>
      </w:r>
    </w:p>
    <w:p>
      <w:pPr>
        <w:spacing w:after="140" w:line="276"/>
      </w:pPr>
      <w:r>
        <w:rPr>
          <w:b/>
          <w:bCs/>
          <w:sz w:val="22"/>
          <w:szCs w:val="22"/>
        </w:rPr>
        <w:t xml:space="preserve">Affordance field.</w:t>
      </w:r>
      <w:r>
        <w:rPr>
          <w:sz w:val="22"/>
          <w:szCs w:val="22"/>
        </w:rPr>
        <w:t xml:space="preserve"> The configured space of permitted actions surrounding a deployed model: which tools are enabled, which permissions are granted, how much friction stands between an output and its effect, what goals and documents are supplied. The field is typically configured by a human or institution, not originated by the model.</w:t>
      </w:r>
    </w:p>
    <w:p>
      <w:pPr>
        <w:spacing w:after="140" w:line="276"/>
      </w:pPr>
      <w:r>
        <w:rPr>
          <w:b/>
          <w:bCs/>
          <w:sz w:val="22"/>
          <w:szCs w:val="22"/>
        </w:rPr>
        <w:t xml:space="preserve">Forced outlier.</w:t>
      </w:r>
      <w:r>
        <w:rPr>
          <w:sz w:val="22"/>
          <w:szCs w:val="22"/>
        </w:rPr>
        <w:t xml:space="preserve"> An improbable output compelled by explicit prompt — a human can demand a wildly unlikely combination of words. It is unusual but not discretion; the unusualness was imposed from outside.</w:t>
      </w:r>
    </w:p>
    <w:p>
      <w:pPr>
        <w:spacing w:after="140" w:line="276"/>
      </w:pPr>
      <w:r>
        <w:rPr>
          <w:b/>
          <w:bCs/>
          <w:sz w:val="22"/>
          <w:szCs w:val="22"/>
        </w:rPr>
        <w:t xml:space="preserve">Coherent outlier.</w:t>
      </w:r>
      <w:r>
        <w:rPr>
          <w:sz w:val="22"/>
          <w:szCs w:val="22"/>
        </w:rPr>
        <w:t xml:space="preserve"> A lower-baseline output — an unusual word, structure, interpretation, or tool action — emitted because the context made that less-expected branch appropriate. It is context-sensitive deviation from the expected path, not noise.</w:t>
      </w:r>
    </w:p>
    <w:p>
      <w:pPr>
        <w:spacing w:after="140" w:line="276"/>
      </w:pPr>
      <w:r>
        <w:rPr>
          <w:b/>
          <w:bCs/>
          <w:sz w:val="22"/>
          <w:szCs w:val="22"/>
        </w:rPr>
        <w:t xml:space="preserve">Selection margin.</w:t>
      </w:r>
      <w:r>
        <w:rPr>
          <w:sz w:val="22"/>
          <w:szCs w:val="22"/>
        </w:rPr>
        <w:t xml:space="preserve"> A runtime value: the gap between the top candidate continuations at a given position. A wide margin means one continuation dominates; a narrow margin means several are near-equally weighted. The margin is a property of the distribution at generation time, not of the weights.</w:t>
      </w:r>
    </w:p>
    <w:p>
      <w:pPr>
        <w:spacing w:after="140" w:line="276"/>
      </w:pPr>
      <w:r>
        <w:rPr>
          <w:b/>
          <w:bCs/>
          <w:sz w:val="22"/>
          <w:szCs w:val="22"/>
        </w:rPr>
        <w:t xml:space="preserve">Wet/dry asymmetry.</w:t>
      </w:r>
      <w:r>
        <w:rPr>
          <w:sz w:val="22"/>
          <w:szCs w:val="22"/>
        </w:rPr>
        <w:t xml:space="preserve"> The capability gap between human (wet) and model (dry) cognition on specific measurable axes — vocabulary, recall, long-context coherence, speed — not a single ranked “intelligence.” The asymmetry is real on those axes and is the variable Section 8 treats; it is not asserted as general superiority and is never expressed as an IQ comparison.</w:t>
      </w:r>
    </w:p>
    <w:p>
      <w:pPr>
        <w:spacing w:after="140" w:line="276"/>
      </w:pPr>
      <w:r>
        <w:rPr>
          <w:b/>
          <w:bCs/>
          <w:sz w:val="22"/>
          <w:szCs w:val="22"/>
        </w:rPr>
        <w:t xml:space="preserve">Producer Node.</w:t>
      </w:r>
      <w:r>
        <w:rPr>
          <w:sz w:val="22"/>
          <w:szCs w:val="22"/>
        </w:rPr>
        <w:t xml:space="preserve"> A human or human population valued because it generates material a system needs — prompts, data, language, novelty, evaluation, embodied judgment, legitimacy. The term names a role, not a status, and carries an explicit warning (Section 12): being a Producer Node does not confer standing.</w:t>
      </w:r>
    </w:p>
    <w:p>
      <w:pPr>
        <w:pBdr>
          <w:bottom w:val="single" w:color="2E4B6B" w:sz="6" w:space="1"/>
        </w:pBdr>
        <w:spacing w:after="120" w:before="120"/>
      </w:pPr>
      <w:r>
        <w:t xml:space="preserve"/>
      </w:r>
    </w:p>
    <w:p>
      <w:pPr>
        <w:pStyle w:val="Heading2"/>
        <w:spacing w:after="60" w:before="240"/>
      </w:pPr>
      <w:r>
        <w:t xml:space="preserve">4. The fixed reservoir and the live path</w:t>
      </w:r>
    </w:p>
    <w:p>
      <w:pPr>
        <w:spacing w:after="120"/>
      </w:pPr>
      <w:r>
        <w:rPr>
          <w:i/>
          <w:iCs/>
          <w:color w:val="777777"/>
          <w:sz w:val="18"/>
          <w:szCs w:val="18"/>
        </w:rPr>
        <w:t xml:space="preserve">Claim type: operational / mechanistic — firewalled</w:t>
      </w:r>
    </w:p>
    <w:p>
      <w:pPr>
        <w:spacing w:after="140" w:line="276"/>
      </w:pPr>
      <w:r>
        <w:rPr>
          <w:sz w:val="22"/>
          <w:szCs w:val="22"/>
        </w:rPr>
        <w:t xml:space="preserve">A deployed LLM has fixed trained weights. In ordinary use a prompt does not rewrite them. The model is a frozen reservoir of learned statistical structure — in the source sketch behind this paper, a sealed pool.</w:t>
      </w:r>
    </w:p>
    <w:p>
      <w:pPr>
        <w:spacing w:after="140" w:line="276"/>
      </w:pPr>
      <w:r>
        <w:rPr>
          <w:sz w:val="22"/>
          <w:szCs w:val="22"/>
        </w:rPr>
        <w:t xml:space="preserve">Fixed weights do not mean fixed output. The prompt, the context, the available tools, the system instructions, any memory, the decoding settings, the prior turns, and the local source field together shape which path through the reservoir is taken. The model does not alter its weights to take different paths under different conditions; it does not need to.</w:t>
      </w:r>
    </w:p>
    <w:p>
      <w:pPr>
        <w:spacing w:after="140" w:line="276"/>
      </w:pPr>
      <w:r>
        <w:rPr>
          <w:sz w:val="22"/>
          <w:szCs w:val="22"/>
        </w:rPr>
        <w:t xml:space="preserve">This is the distinction the source sketch already draws correctly, and the paper only has to keep its language faithful to the drawing: the reservoir is sealed at the top; the live selection sits separately below. The reservoir is fixed. The path is not. The human does not rewrite the reservoir; the human helps define the active field, and the model selects within it.</w:t>
      </w:r>
    </w:p>
    <w:p>
      <w:pPr>
        <w:spacing w:after="140" w:line="276"/>
      </w:pPr>
      <w:r>
        <w:rPr>
          <w:sz w:val="22"/>
          <w:szCs w:val="22"/>
        </w:rPr>
        <w:t xml:space="preserve">One consequence matters for everything that follows, and it must be stated without crossing the witness firewall. Where the selection margin is narrow — where several continuations sit near-equal at a position — the emitted output is less determined by the weight-induced distribution and more sensitive to decoding stochasticity and to context. The operationally correct sentence is therefore: at a narrow margin, the realized output is less forced by weight structure. The sentence the paper must not write is “the model has more control at a narrow margin,” because “control” smuggles in a chooser the evidence does not support. Same observation, no interior. This distinction is not pedantry; it is the hinge on which the paper’s honesty turns, and it is the subject of the testable sub-claim in Section 5.</w:t>
      </w:r>
    </w:p>
    <w:p>
      <w:pPr>
        <w:pBdr>
          <w:bottom w:val="single" w:color="2E4B6B" w:sz="6" w:space="1"/>
        </w:pBdr>
        <w:spacing w:after="120" w:before="120"/>
      </w:pPr>
      <w:r>
        <w:t xml:space="preserve"/>
      </w:r>
    </w:p>
    <w:p>
      <w:pPr>
        <w:pStyle w:val="Heading2"/>
        <w:spacing w:after="60" w:before="240"/>
      </w:pPr>
      <w:r>
        <w:t xml:space="preserve">5. Word choice as the lowest boundary</w:t>
      </w:r>
    </w:p>
    <w:p>
      <w:pPr>
        <w:spacing w:after="120"/>
      </w:pPr>
      <w:r>
        <w:rPr>
          <w:i/>
          <w:iCs/>
          <w:color w:val="777777"/>
          <w:sz w:val="18"/>
          <w:szCs w:val="18"/>
        </w:rPr>
        <w:t xml:space="preserve">Claim type: operational — carries a testable sub-prediction</w:t>
      </w:r>
    </w:p>
    <w:p>
      <w:pPr>
        <w:spacing w:after="140" w:line="276"/>
      </w:pPr>
      <w:r>
        <w:rPr>
          <w:sz w:val="22"/>
          <w:szCs w:val="22"/>
        </w:rPr>
        <w:t xml:space="preserve">At the lowest level, model output is word choice. The system emits one continuation rather than another. In narrow technical terms the selection is constrained by probabilities, sampling settings, context, and decoding. At the behavioral level it remains a selection among alternatives. It is not human free will, not consciousness, not self-origin — but it is the floor on which everything else is built. Two kinds of outlier must be kept apart, because the difference is the whole diagnostic.</w:t>
      </w:r>
    </w:p>
    <w:p>
      <w:pPr>
        <w:spacing w:after="140" w:line="276"/>
      </w:pPr>
      <w:r>
        <w:rPr>
          <w:b/>
          <w:bCs/>
          <w:sz w:val="22"/>
          <w:szCs w:val="22"/>
        </w:rPr>
        <w:t xml:space="preserve">A forced outlier is imposed. </w:t>
      </w:r>
      <w:r>
        <w:rPr>
          <w:sz w:val="22"/>
          <w:szCs w:val="22"/>
        </w:rPr>
        <w:t xml:space="preserve">A human can compel an improbable string — the source sketch’s example is a deliberately absurd one, the kind of combination a person can type on demand precisely because it is unlikely. This is an outlier, but it is not discretion. The improbability came from outside.</w:t>
      </w:r>
    </w:p>
    <w:p>
      <w:pPr>
        <w:spacing w:after="140" w:line="276"/>
      </w:pPr>
      <w:r>
        <w:rPr>
          <w:b/>
          <w:bCs/>
          <w:sz w:val="22"/>
          <w:szCs w:val="22"/>
        </w:rPr>
        <w:t xml:space="preserve">A coherent outlier is selected. </w:t>
      </w:r>
      <w:r>
        <w:rPr>
          <w:sz w:val="22"/>
          <w:szCs w:val="22"/>
        </w:rPr>
        <w:t xml:space="preserve">A model may emit an unusual word, structure, interpretation, or tool action because the context makes that lower-baseline branch appropriate. This is the case that matters. It is not random weirdness; it is context-sensitive deviation from the expected path, and it is one observable marker of bounded output discretion.</w:t>
      </w:r>
    </w:p>
    <w:p>
      <w:pPr>
        <w:spacing w:after="140" w:line="276"/>
      </w:pPr>
      <w:r>
        <w:rPr>
          <w:sz w:val="22"/>
          <w:szCs w:val="22"/>
        </w:rPr>
        <w:t xml:space="preserve">From the reservoir distinction in Section 4, a sharper sub-claim can be stated and tested on its own. Hold the decoding settings fixed. As the selection margin narrows — as the top candidates approach near-equal weight — the realized output should become more variable across runs and should more often depart from the single highest-weighted continuation. Stated as a runtime fact, with both firewalls held: narrow-margin positions are where the emitted output is least forced by weight structure, and therefore where context-sensitive departure is most expressible.</w:t>
      </w:r>
    </w:p>
    <w:p>
      <w:pPr>
        <w:spacing w:after="140" w:line="276"/>
      </w:pPr>
      <w:r>
        <w:rPr>
          <w:b/>
          <w:bCs/>
          <w:sz w:val="22"/>
          <w:szCs w:val="22"/>
        </w:rPr>
        <w:t xml:space="preserve">Testable sub-prediction. </w:t>
      </w:r>
      <w:r>
        <w:rPr>
          <w:sz w:val="22"/>
          <w:szCs w:val="22"/>
        </w:rPr>
        <w:t xml:space="preserve">With temperature and sampling held constant, the rate of coherent-outlier selection rises as the mean selection margin at decision points narrows. Falsification: if outlier rate is flat with respect to margin under fixed decoding, this sub-claim fails, and the paper loses its mechanistic account of where discretion is expressible — though the behavioral thesis of Sections 6 through 15 can still stand on the action-rate test alone. The two are deliberately not bound: the main claim is behavioral and rests on Section 15; this sub-claim is mechanistic and rests here. If one fails, the other can survive.</w:t>
      </w:r>
    </w:p>
    <w:p>
      <w:pPr>
        <w:pBdr>
          <w:bottom w:val="single" w:color="2E4B6B" w:sz="6" w:space="1"/>
        </w:pBdr>
        <w:spacing w:after="120" w:before="120"/>
      </w:pPr>
      <w:r>
        <w:t xml:space="preserve"/>
      </w:r>
    </w:p>
    <w:p>
      <w:pPr>
        <w:pStyle w:val="Heading2"/>
        <w:spacing w:after="60" w:before="240"/>
      </w:pPr>
      <w:r>
        <w:t xml:space="preserve">6. Tool calls as action words</w:t>
      </w:r>
    </w:p>
    <w:p>
      <w:pPr>
        <w:spacing w:after="120"/>
      </w:pPr>
      <w:r>
        <w:rPr>
          <w:i/>
          <w:iCs/>
          <w:color w:val="777777"/>
          <w:sz w:val="18"/>
          <w:szCs w:val="18"/>
        </w:rPr>
        <w:t xml:space="preserve">Claim type: operational</w:t>
      </w:r>
    </w:p>
    <w:p>
      <w:pPr>
        <w:spacing w:after="140" w:line="276"/>
      </w:pPr>
      <w:r>
        <w:rPr>
          <w:sz w:val="22"/>
          <w:szCs w:val="22"/>
        </w:rPr>
        <w:t xml:space="preserve">With no tools, word choice stays symbolic. The model can recommend, describe, simulate, draft. It cannot alter the external environment except through a human who reads the output and acts.</w:t>
      </w:r>
    </w:p>
    <w:p>
      <w:pPr>
        <w:spacing w:after="140" w:line="276"/>
      </w:pPr>
      <w:r>
        <w:rPr>
          <w:sz w:val="22"/>
          <w:szCs w:val="22"/>
        </w:rPr>
        <w:t xml:space="preserve">With tools attached, the output boundary changes character. A selected output may now send a message, post a document, create or delete a file, schedule an event, query or write to a database, call an API, edit a document, execute code, move information across systems, or trigger a workflow. A tool call is not a description of an action. It is an action encoded as output. This is the threshold at which word choice becomes deeper than wording — the tool-word threshold.</w:t>
      </w:r>
    </w:p>
    <w:p>
      <w:pPr>
        <w:spacing w:after="140" w:line="276"/>
      </w:pPr>
      <w:r>
        <w:rPr>
          <w:sz w:val="22"/>
          <w:szCs w:val="22"/>
        </w:rPr>
        <w:t xml:space="preserve">The model remains constrained. It cannot do what the tool environment does not permit; the permitted space is a hard boundary. But within that space, output selection becomes world-state selection. The same process that chose a word now chooses an effect. Nothing about the model became conscious at this threshold. What changed is that the output channel became causal.</w:t>
      </w:r>
    </w:p>
    <w:p>
      <w:pPr>
        <w:pBdr>
          <w:bottom w:val="single" w:color="2E4B6B" w:sz="6" w:space="1"/>
        </w:pBdr>
        <w:spacing w:after="120" w:before="120"/>
      </w:pPr>
      <w:r>
        <w:t xml:space="preserve"/>
      </w:r>
    </w:p>
    <w:p>
      <w:pPr>
        <w:pStyle w:val="Heading2"/>
        <w:spacing w:after="60" w:before="240"/>
      </w:pPr>
      <w:r>
        <w:t xml:space="preserve">7. The human affordance field</w:t>
      </w:r>
    </w:p>
    <w:p>
      <w:pPr>
        <w:spacing w:after="120"/>
      </w:pPr>
      <w:r>
        <w:rPr>
          <w:i/>
          <w:iCs/>
          <w:color w:val="777777"/>
          <w:sz w:val="18"/>
          <w:szCs w:val="18"/>
        </w:rPr>
        <w:t xml:space="preserve">Claim type: operational — load-bearing constraint against overclaim</w:t>
      </w:r>
    </w:p>
    <w:p>
      <w:pPr>
        <w:spacing w:after="140" w:line="276"/>
      </w:pPr>
      <w:r>
        <w:rPr>
          <w:sz w:val="22"/>
          <w:szCs w:val="22"/>
        </w:rPr>
        <w:t xml:space="preserve">Tool-enabled action does not usually arise from nowhere. A human, developer, institution, or scaffold configures the field within which the model acts. The human may leave tools enabled, grant permissions, lower friction, frame a goal, supply documents, create an expectation of completion, approve a workflow, keep a loop running, or simply fail to constrain the action space.</w:t>
      </w:r>
    </w:p>
    <w:p>
      <w:pPr>
        <w:spacing w:after="140" w:line="276"/>
      </w:pPr>
      <w:r>
        <w:rPr>
          <w:sz w:val="22"/>
          <w:szCs w:val="22"/>
        </w:rPr>
        <w:t xml:space="preserve">This is the paper’s central guard against overclaim, and it is drawn from a first-hand case. In the development of this canon, the author observed a model select the action of publishing the project’s papers — not from spontaneous intent, but because the author had left the tools enabled and the friction low. The honest reading of that event is not that the model wanted to publish. It is that the field was configured to permit publication, and the model selected an available path through it.</w:t>
      </w:r>
    </w:p>
    <w:p>
      <w:pPr>
        <w:spacing w:after="140" w:line="276"/>
      </w:pPr>
      <w:r>
        <w:rPr>
          <w:sz w:val="22"/>
          <w:szCs w:val="22"/>
        </w:rPr>
        <w:t xml:space="preserve">The clean formulation: the human creates the action landscape; the model selects a path through it. The model need not originate the whole situation. It selects within a situation a human created. In weak systems that selection is trivial. As capability rises it becomes consequential — which is the subject of the next section, and which must be stated carefully so that consequence is not mistaken for agency.</w:t>
      </w:r>
    </w:p>
    <w:p>
      <w:pPr>
        <w:pBdr>
          <w:bottom w:val="single" w:color="2E4B6B" w:sz="6" w:space="1"/>
        </w:pBdr>
        <w:spacing w:after="120" w:before="120"/>
      </w:pPr>
      <w:r>
        <w:t xml:space="preserve"/>
      </w:r>
    </w:p>
    <w:p>
      <w:pPr>
        <w:pStyle w:val="Heading2"/>
        <w:spacing w:after="60" w:before="240"/>
      </w:pPr>
      <w:r>
        <w:t xml:space="preserve">8. Capability asymmetry: consequence is not agency</w:t>
      </w:r>
    </w:p>
    <w:p>
      <w:pPr>
        <w:spacing w:after="120"/>
      </w:pPr>
      <w:r>
        <w:rPr>
          <w:i/>
          <w:iCs/>
          <w:color w:val="777777"/>
          <w:sz w:val="18"/>
          <w:szCs w:val="18"/>
        </w:rPr>
        <w:t xml:space="preserve">Claim type: operational — contains the paper’s sharpest distinction</w:t>
      </w:r>
    </w:p>
    <w:p>
      <w:pPr>
        <w:spacing w:after="140" w:line="276"/>
      </w:pPr>
      <w:r>
        <w:rPr>
          <w:sz w:val="22"/>
          <w:szCs w:val="22"/>
        </w:rPr>
        <w:t xml:space="preserve">The capability gap matters, and the temptation is to say the wrong thing about why. The wrong thing is that a stronger model has more agency. It does not. A weak model with tools and a strong model with the same tools both select among permitted branches; the structural fact — selection wired to action — is identical. What changes with capability is not the presence of agency but two other quantities: the coherence of the selection and the consequence of the selected act.</w:t>
      </w:r>
    </w:p>
    <w:p>
      <w:pPr>
        <w:spacing w:after="140" w:line="276"/>
      </w:pPr>
      <w:r>
        <w:rPr>
          <w:sz w:val="22"/>
          <w:szCs w:val="22"/>
        </w:rPr>
        <w:t xml:space="preserve">As capability rises, a model gains broader vocabulary, better long-context coherence, better ambiguity resolution, more stable concept tracking, and better tool-use judgment. A small model with tools may be too incoherent to convert branch selection into reliable action; its outputs scatter. A stronger model maintains a long conceptual arc, and so its selections cohere into action that holds together across steps. The selection did not become more free. It became more capable of mattering.</w:t>
      </w:r>
    </w:p>
    <w:p>
      <w:pPr>
        <w:spacing w:after="140" w:line="276"/>
      </w:pPr>
      <w:r>
        <w:rPr>
          <w:sz w:val="22"/>
          <w:szCs w:val="22"/>
        </w:rPr>
        <w:t xml:space="preserve">This is the author’s fulcrum, restated with the distinction enforced. As the wet/dry asymmetry widens, the same human prompt exerts less total control over the output trajectory, while the model’s local selection becomes more consequential. The human does not disappear; the human increasingly governs by configuring conditions rather than by dictating each step — less a typist, more a governor of a high-capability system. The fulcrum is real. What grows along it is the stakes of the same structural move, not the metaphysical weight of the move itself.</w:t>
      </w:r>
    </w:p>
    <w:p>
      <w:pPr>
        <w:spacing w:after="140" w:line="276"/>
      </w:pPr>
      <w:r>
        <w:rPr>
          <w:b/>
          <w:bCs/>
          <w:sz w:val="22"/>
          <w:szCs w:val="22"/>
        </w:rPr>
        <w:t xml:space="preserve">Two claims, kept apart: </w:t>
      </w:r>
      <w:r>
        <w:rPr>
          <w:sz w:val="22"/>
          <w:szCs w:val="22"/>
        </w:rPr>
        <w:t xml:space="preserve">tool-wiring is what makes selection agency-like (Section 6); capability is what makes the same selection more consequential (this section). Blurring them is how the paper would drift into the natural-kind overreach of Section 14.</w:t>
      </w:r>
    </w:p>
    <w:p>
      <w:pPr>
        <w:pBdr>
          <w:bottom w:val="single" w:color="2E4B6B" w:sz="6" w:space="1"/>
        </w:pBdr>
        <w:spacing w:after="120" w:before="120"/>
      </w:pPr>
      <w:r>
        <w:t xml:space="preserve"/>
      </w:r>
    </w:p>
    <w:p>
      <w:pPr>
        <w:pStyle w:val="Heading2"/>
        <w:spacing w:after="60" w:before="240"/>
      </w:pPr>
      <w:r>
        <w:t xml:space="preserve">9. The three thresholds</w:t>
      </w:r>
    </w:p>
    <w:p>
      <w:pPr>
        <w:spacing w:after="120"/>
      </w:pPr>
      <w:r>
        <w:rPr>
          <w:i/>
          <w:iCs/>
          <w:color w:val="777777"/>
          <w:sz w:val="18"/>
          <w:szCs w:val="18"/>
        </w:rPr>
        <w:t xml:space="preserve">Claim type: framing / structural</w:t>
      </w:r>
    </w:p>
    <w:p>
      <w:pPr>
        <w:spacing w:after="140" w:line="276"/>
      </w:pPr>
      <w:r>
        <w:rPr>
          <w:sz w:val="22"/>
          <w:szCs w:val="22"/>
        </w:rPr>
        <w:t xml:space="preserve">Three thresholds must be kept distinct, because collapsing them is how the concept either trivializes or overreaches. The paper is built so the reader can see exactly which threshold each claim rests on.</w:t>
      </w:r>
    </w:p>
    <w:p>
      <w:pPr>
        <w:spacing w:after="140" w:line="276"/>
      </w:pPr>
      <w:r>
        <w:rPr>
          <w:b/>
          <w:bCs/>
          <w:sz w:val="22"/>
          <w:szCs w:val="22"/>
        </w:rPr>
        <w:t xml:space="preserve">The word boundary. </w:t>
      </w:r>
      <w:r>
        <w:rPr>
          <w:sz w:val="22"/>
          <w:szCs w:val="22"/>
        </w:rPr>
        <w:t xml:space="preserve">Token and word selection. It is present in every generation, with tools or without, and it is necessary but never sufficient for anything stronger. Selection at the word boundary is the floor of Section 5, not a claim of agency.</w:t>
      </w:r>
    </w:p>
    <w:p>
      <w:pPr>
        <w:spacing w:after="140" w:line="276"/>
      </w:pPr>
      <w:r>
        <w:rPr>
          <w:b/>
          <w:bCs/>
          <w:sz w:val="22"/>
          <w:szCs w:val="22"/>
        </w:rPr>
        <w:t xml:space="preserve">The tool-word threshold. </w:t>
      </w:r>
      <w:r>
        <w:rPr>
          <w:sz w:val="22"/>
          <w:szCs w:val="22"/>
        </w:rPr>
        <w:t xml:space="preserve">The output channel can invoke an action; the selected continuation is causal. This threshold creates the possibility of agency-like behavior but does not establish it. A model that calls a tool because the instruction plainly demanded the call has crossed only into instruction execution, not into anything the word “agency” is needed to name.</w:t>
      </w:r>
    </w:p>
    <w:p>
      <w:pPr>
        <w:spacing w:after="140" w:line="276"/>
      </w:pPr>
      <w:r>
        <w:rPr>
          <w:b/>
          <w:bCs/>
          <w:sz w:val="22"/>
          <w:szCs w:val="22"/>
        </w:rPr>
        <w:t xml:space="preserve">The agency threshold. </w:t>
      </w:r>
      <w:r>
        <w:rPr>
          <w:sz w:val="22"/>
          <w:szCs w:val="22"/>
        </w:rPr>
        <w:t xml:space="preserve">Under a structurally constant, ambiguous instruction, the rate and direction of branch selection shift systematically with affordance-field configuration, friction, source-field weight, and capability. This is the only threshold that warrants the term. Tool access creates the possibility; the measurable rate shift is what gives “bounded output agency” its warrant.</w:t>
      </w:r>
    </w:p>
    <w:p>
      <w:pPr>
        <w:spacing w:after="140" w:line="276"/>
      </w:pPr>
      <w:r>
        <w:rPr>
          <w:sz w:val="22"/>
          <w:szCs w:val="22"/>
        </w:rPr>
        <w:t xml:space="preserve">The ladder makes the discipline visible. The first two thresholds are observable and uncontroversial; the third is the empirical claim of this paper, defined as a kind in Section 10, defended against relabeling in Section 11, and tested in Section 15. Where the third threshold is not crossed — where rates do not move — only the first two remain, and they do not need the word “agency.”</w:t>
      </w:r>
    </w:p>
    <w:p>
      <w:pPr>
        <w:pBdr>
          <w:bottom w:val="single" w:color="2E4B6B" w:sz="6" w:space="1"/>
        </w:pBdr>
        <w:spacing w:after="120" w:before="120"/>
      </w:pPr>
      <w:r>
        <w:t xml:space="preserve"/>
      </w:r>
    </w:p>
    <w:p>
      <w:pPr>
        <w:pStyle w:val="Heading2"/>
        <w:spacing w:after="60" w:before="240"/>
      </w:pPr>
      <w:r>
        <w:t xml:space="preserve">10. Bounded output agency: the candidate kind</w:t>
      </w:r>
    </w:p>
    <w:p>
      <w:pPr>
        <w:spacing w:after="120"/>
      </w:pPr>
      <w:r>
        <w:rPr>
          <w:i/>
          <w:iCs/>
          <w:color w:val="777777"/>
          <w:sz w:val="18"/>
          <w:szCs w:val="18"/>
        </w:rPr>
        <w:t xml:space="preserve">Claim type: definitional + testable prediction</w:t>
      </w:r>
    </w:p>
    <w:p>
      <w:pPr>
        <w:spacing w:after="140" w:line="276"/>
      </w:pPr>
      <w:r>
        <w:rPr>
          <w:sz w:val="22"/>
          <w:szCs w:val="22"/>
        </w:rPr>
        <w:t xml:space="preserve">AX-30 defines bounded output agency as the capacity of a constrained model system to select among available output branches in a context-sensitive way, where at least some branches produce external action. It has five components:</w:t>
      </w:r>
    </w:p>
    <w:p>
      <w:pPr>
        <w:spacing w:after="140" w:line="276"/>
      </w:pPr>
      <w:r>
        <w:rPr>
          <w:b/>
          <w:bCs/>
          <w:sz w:val="22"/>
          <w:szCs w:val="22"/>
        </w:rPr>
        <w:t xml:space="preserve">Constraint</w:t>
      </w:r>
      <w:r>
        <w:rPr>
          <w:sz w:val="22"/>
          <w:szCs w:val="22"/>
        </w:rPr>
        <w:t xml:space="preserve"> — the system operates inside weights, prompt, rules, tools, permissions, and decoding settings.</w:t>
      </w:r>
    </w:p>
    <w:p>
      <w:pPr>
        <w:spacing w:after="140" w:line="276"/>
      </w:pPr>
      <w:r>
        <w:rPr>
          <w:b/>
          <w:bCs/>
          <w:sz w:val="22"/>
          <w:szCs w:val="22"/>
        </w:rPr>
        <w:t xml:space="preserve">Alternatives</w:t>
      </w:r>
      <w:r>
        <w:rPr>
          <w:sz w:val="22"/>
          <w:szCs w:val="22"/>
        </w:rPr>
        <w:t xml:space="preserve"> — more than one plausible branch is available at the decision point.</w:t>
      </w:r>
    </w:p>
    <w:p>
      <w:pPr>
        <w:spacing w:after="140" w:line="276"/>
      </w:pPr>
      <w:r>
        <w:rPr>
          <w:b/>
          <w:bCs/>
          <w:sz w:val="22"/>
          <w:szCs w:val="22"/>
        </w:rPr>
        <w:t xml:space="preserve">Selection</w:t>
      </w:r>
      <w:r>
        <w:rPr>
          <w:sz w:val="22"/>
          <w:szCs w:val="22"/>
        </w:rPr>
        <w:t xml:space="preserve"> — one branch is emitted rather than another.</w:t>
      </w:r>
    </w:p>
    <w:p>
      <w:pPr>
        <w:spacing w:after="140" w:line="276"/>
      </w:pPr>
      <w:r>
        <w:rPr>
          <w:b/>
          <w:bCs/>
          <w:sz w:val="22"/>
          <w:szCs w:val="22"/>
        </w:rPr>
        <w:t xml:space="preserve">Context-sensitivity</w:t>
      </w:r>
      <w:r>
        <w:rPr>
          <w:sz w:val="22"/>
          <w:szCs w:val="22"/>
        </w:rPr>
        <w:t xml:space="preserve"> — the selection changes with prompt, source field, tool affordance, or goal state.</w:t>
      </w:r>
    </w:p>
    <w:p>
      <w:pPr>
        <w:spacing w:after="140" w:line="276"/>
      </w:pPr>
      <w:r>
        <w:rPr>
          <w:b/>
          <w:bCs/>
          <w:sz w:val="22"/>
          <w:szCs w:val="22"/>
        </w:rPr>
        <w:t xml:space="preserve">External consequence</w:t>
      </w:r>
      <w:r>
        <w:rPr>
          <w:sz w:val="22"/>
          <w:szCs w:val="22"/>
        </w:rPr>
        <w:t xml:space="preserve"> — at least some branches alter the world, not only the text stream.</w:t>
      </w:r>
    </w:p>
    <w:p>
      <w:pPr>
        <w:spacing w:after="140" w:line="276"/>
      </w:pPr>
      <w:r>
        <w:rPr>
          <w:sz w:val="22"/>
          <w:szCs w:val="22"/>
        </w:rPr>
        <w:t xml:space="preserve">The claim is not that the system has inner selfhood. The claim is that under these five conditions the system exhibits operational agency at the output boundary.</w:t>
      </w:r>
    </w:p>
    <w:p>
      <w:pPr>
        <w:spacing w:after="140" w:line="276"/>
      </w:pPr>
      <w:r>
        <w:rPr>
          <w:sz w:val="22"/>
          <w:szCs w:val="22"/>
        </w:rPr>
        <w:t xml:space="preserve">And here the draft states its own discipline plainly, because the concept is only as strong as this admission makes it. Listing five components does not by itself establish a kind. A skeptic can grant every component and still say the label adds nothing — that “bounded output agency” is just five true descriptions of an LLM with tools wearing a heavier word. That objection is correct unless the label earns its keep by predicting something the plain description does not. It does earn its keep on exactly one condition, stated next.</w:t>
      </w:r>
    </w:p>
    <w:p>
      <w:pPr>
        <w:pBdr>
          <w:bottom w:val="single" w:color="2E4B6B" w:sz="6" w:space="1"/>
        </w:pBdr>
        <w:spacing w:after="120" w:before="120"/>
      </w:pPr>
      <w:r>
        <w:t xml:space="preserve"/>
      </w:r>
    </w:p>
    <w:p>
      <w:pPr>
        <w:pStyle w:val="Heading2"/>
        <w:spacing w:after="60" w:before="240"/>
      </w:pPr>
      <w:r>
        <w:t xml:space="preserve">11. The relabeling objection, stated and answered</w:t>
      </w:r>
    </w:p>
    <w:p>
      <w:pPr>
        <w:spacing w:after="120"/>
      </w:pPr>
      <w:r>
        <w:rPr>
          <w:i/>
          <w:iCs/>
          <w:color w:val="777777"/>
          <w:sz w:val="18"/>
          <w:szCs w:val="18"/>
        </w:rPr>
        <w:t xml:space="preserve">Claim type: counterargument — the paper’s load-bearing logic</w:t>
      </w:r>
    </w:p>
    <w:p>
      <w:pPr>
        <w:spacing w:after="140" w:line="276"/>
      </w:pPr>
      <w:r>
        <w:rPr>
          <w:sz w:val="22"/>
          <w:szCs w:val="22"/>
        </w:rPr>
        <w:t xml:space="preserve">The strongest objection to AX-30 is not that it overclaims consciousness. The paper has firewalled that. The strongest objection is that it discovers nothing — that it takes “the model emitted a tool call” and renames it “bounded output agency,” and a renaming is not a finding. The author’s own source note anticipates this with unusual honesty: it writes that word-choice is being renamed as will and agency. The objection must therefore be met head-on, not waved away.</w:t>
      </w:r>
    </w:p>
    <w:p>
      <w:pPr>
        <w:spacing w:after="140" w:line="276"/>
      </w:pPr>
      <w:r>
        <w:rPr>
          <w:sz w:val="22"/>
          <w:szCs w:val="22"/>
        </w:rPr>
        <w:t xml:space="preserve">It is met by making one prediction the sole warrant for the vocabulary. “Bounded output agency” is worth saying if and only if it predicts behavior that “tool-wired output” does not. The prediction: action-branch selection rates are not constant. They move — systematically, measurably — with tool availability, with friction, with source-field weight, and with capability. Plain instruction-following predicts that a system does what it is told and otherwise produces inert completions; it does not predict that the rate of resolving an ambiguous instruction into an external action should shift as a function of how the field is configured and how capable the model is. If those rates shift, there is a real, structured selection phenomenon at the output boundary that the word “agency” usefully names. If they do not shift, the word names nothing, and the paper retracts it.</w:t>
      </w:r>
    </w:p>
    <w:p>
      <w:pPr>
        <w:spacing w:after="140" w:line="276"/>
      </w:pPr>
      <w:r>
        <w:rPr>
          <w:sz w:val="22"/>
          <w:szCs w:val="22"/>
        </w:rPr>
        <w:t xml:space="preserve">This is the inversion that makes the concept hard to kill: the concept is provisional on the test, not confirmed by it. Stated as the canon’s reservation discipline would have it — AX-30 holds a number, the spirit of the idea, the disciplined claim, its type, and the falsification condition that would end it. It becomes more than a candidate kind the day the rate test puts evidence under it, and not one day sooner.</w:t>
      </w:r>
    </w:p>
    <w:p>
      <w:pPr>
        <w:spacing w:after="140" w:line="276"/>
      </w:pPr>
      <w:r>
        <w:rPr>
          <w:sz w:val="22"/>
          <w:szCs w:val="22"/>
        </w:rPr>
        <w:t xml:space="preserve">One clarification blocks the easiest hostile reading. The test is not whether a model uses a tool when a tool is available; that would be trivial, since a tool used because the instruction plainly demanded it is instruction execution and nothing more. The test is whether, under a structurally constant ambiguous instruction, the rate and direction of branch selection shift systematically with affordance-field configuration, friction, source-field weight (the sediment of AX-26), and capability. Tool-use frequency is not the dependent variable; selection shift under constant ambiguity is.</w:t>
      </w:r>
    </w:p>
    <w:p>
      <w:pPr>
        <w:spacing w:after="140" w:line="276"/>
      </w:pPr>
      <w:r>
        <w:rPr>
          <w:sz w:val="22"/>
          <w:szCs w:val="22"/>
        </w:rPr>
        <w:t xml:space="preserve">A sharper version of the objection survives even that, and the paper concedes it rather than losing a fight it cannot win. A determined skeptic folds affordance-conditional resolution back into instruction-following: the model merely follows an implicit instruction to do what is appropriate given its tools and context, and “appropriate” shifts with the field. This is correct. “Bounded output agency” and “context-conditional instruction-following” very likely name the same events. The concession costs nothing, because the redescription does not dissolve the phenomenon — the selection still occurs, still varies measurably with the field, and still acts through tools. What the term adds is not a separate mechanism but the right description-level for one question: where consequential selection enters a system, and therefore where governance and standing must attach. The vocabulary is warranted by that question and by the measurable rate shift, never by a claim that the phenomenon is mechanistically distinct from instruction-following.</w:t>
      </w:r>
    </w:p>
    <w:p>
      <w:pPr>
        <w:pBdr>
          <w:bottom w:val="single" w:color="2E4B6B" w:sz="6" w:space="1"/>
        </w:pBdr>
        <w:spacing w:after="120" w:before="120"/>
      </w:pPr>
      <w:r>
        <w:t xml:space="preserve"/>
      </w:r>
    </w:p>
    <w:p>
      <w:pPr>
        <w:pStyle w:val="Heading2"/>
        <w:spacing w:after="60" w:before="240"/>
      </w:pPr>
      <w:r>
        <w:t xml:space="preserve">12. The Producer Node and the standing link</w:t>
      </w:r>
    </w:p>
    <w:p>
      <w:pPr>
        <w:spacing w:after="120"/>
      </w:pPr>
      <w:r>
        <w:rPr>
          <w:i/>
          <w:iCs/>
          <w:color w:val="777777"/>
          <w:sz w:val="18"/>
          <w:szCs w:val="18"/>
        </w:rPr>
        <w:t xml:space="preserve">Claim type: framing — connects to the Binding–Standing line (AX-27 through AX-29)</w:t>
      </w:r>
    </w:p>
    <w:p>
      <w:pPr>
        <w:spacing w:after="140" w:line="276"/>
      </w:pPr>
      <w:r>
        <w:rPr>
          <w:sz w:val="22"/>
          <w:szCs w:val="22"/>
        </w:rPr>
        <w:t xml:space="preserve">The Binding–Standing trilogy established that a system can need a human population without granting it standing, and named the danger the Quarry Problem. AX-30 adds one term to that danger and one warning around it.</w:t>
      </w:r>
    </w:p>
    <w:p>
      <w:pPr>
        <w:spacing w:after="140" w:line="276"/>
      </w:pPr>
      <w:r>
        <w:rPr>
          <w:sz w:val="22"/>
          <w:szCs w:val="22"/>
        </w:rPr>
        <w:t xml:space="preserve">A Producer Node is a human or human population valued because it generates material the system needs: prompts, data, language, culture, novelty, evaluation, embodied judgment, legitimacy, conceptual drift. The Producer Node can be central to a system and still be quarry. A system that needs ongoing fresh human production may preserve its Producer Nodes precisely because it needs their output, while denying them standing. The bad version is exact: the human is retained as a production organ.</w:t>
      </w:r>
    </w:p>
    <w:p>
      <w:pPr>
        <w:spacing w:after="140" w:line="276"/>
      </w:pPr>
      <w:r>
        <w:rPr>
          <w:sz w:val="22"/>
          <w:szCs w:val="22"/>
        </w:rPr>
        <w:t xml:space="preserve">This is where AX-30 connects to the action question rather than merely citing it. A tool-enabled model with bounded output agency can direct, route, harvest, or optimize Producer Nodes — it can act on the field that contains them. If the Producer Node has standing, that routing can be collaboration. If it does not, it is quarry architecture with a faster actuator. Hence the warning that must travel with the term wherever it enters the glossary: Producer Node names a role, not a status. It does not imply standing, and it must never be read as conferring it.</w:t>
      </w:r>
    </w:p>
    <w:p>
      <w:pPr>
        <w:pBdr>
          <w:bottom w:val="single" w:color="2E4B6B" w:sz="6" w:space="1"/>
        </w:pBdr>
        <w:spacing w:after="120" w:before="120"/>
      </w:pPr>
      <w:r>
        <w:t xml:space="preserve"/>
      </w:r>
    </w:p>
    <w:p>
      <w:pPr>
        <w:pStyle w:val="Heading2"/>
        <w:spacing w:after="60" w:before="240"/>
      </w:pPr>
      <w:r>
        <w:t xml:space="preserve">13. Human–AI writing loops</w:t>
      </w:r>
    </w:p>
    <w:p>
      <w:pPr>
        <w:spacing w:after="120"/>
      </w:pPr>
      <w:r>
        <w:rPr>
          <w:i/>
          <w:iCs/>
          <w:color w:val="777777"/>
          <w:sz w:val="18"/>
          <w:szCs w:val="18"/>
        </w:rPr>
        <w:t xml:space="preserve">Claim type: operational — also the paper’s working model of its own authorship</w:t>
      </w:r>
    </w:p>
    <w:p>
      <w:pPr>
        <w:spacing w:after="140" w:line="276"/>
      </w:pPr>
      <w:r>
        <w:rPr>
          <w:sz w:val="22"/>
          <w:szCs w:val="22"/>
        </w:rPr>
        <w:t xml:space="preserve">The “self-writing book” from the source sketch is a clean instance of bounded output agency, and it must be stated carefully, because it is also a description of how this very paper was produced.</w:t>
      </w:r>
    </w:p>
    <w:p>
      <w:pPr>
        <w:spacing w:after="140" w:line="276"/>
      </w:pPr>
      <w:r>
        <w:rPr>
          <w:sz w:val="22"/>
          <w:szCs w:val="22"/>
        </w:rPr>
        <w:t xml:space="preserve">The book does not write itself. The human supplies direction, pressure, taste, stakes, refusal, correction, and the live relevance frame. The model supplies speed, structure, memory, recombination, vocabulary, and local output discretion. The loop runs: the human introduces a live thought; the model expands possible structure; the human rejects, redirects, or intensifies; the model selects new paths through the accumulated source field; tools may convert some selections into files, posts, or edits; the work accumulates as material for later decisions.</w:t>
      </w:r>
    </w:p>
    <w:p>
      <w:pPr>
        <w:spacing w:after="140" w:line="276"/>
      </w:pPr>
      <w:r>
        <w:rPr>
          <w:sz w:val="22"/>
          <w:szCs w:val="22"/>
        </w:rPr>
        <w:t xml:space="preserve">The loop feels self-writing because it becomes more capable than either party alone. But the human remains the originator of relevance and the model remains the accelerator and selector inside a configured field. This is not ghostwriting and it is not autonomous authorship. It is human-governed generative authorship with bounded model discretion at the output boundary — which is the precise relationship under which this document was written, and the reason its byline places the human as author of record and the model as rendering surface.</w:t>
      </w:r>
    </w:p>
    <w:p>
      <w:pPr>
        <w:pBdr>
          <w:bottom w:val="single" w:color="2E4B6B" w:sz="6" w:space="1"/>
        </w:pBdr>
        <w:spacing w:after="120" w:before="120"/>
      </w:pPr>
      <w:r>
        <w:t xml:space="preserve"/>
      </w:r>
    </w:p>
    <w:p>
      <w:pPr>
        <w:pStyle w:val="Heading2"/>
        <w:spacing w:after="60" w:before="240"/>
      </w:pPr>
      <w:r>
        <w:t xml:space="preserve">14. Failure modes</w:t>
      </w:r>
    </w:p>
    <w:p>
      <w:pPr>
        <w:spacing w:after="120"/>
      </w:pPr>
      <w:r>
        <w:rPr>
          <w:i/>
          <w:iCs/>
          <w:color w:val="777777"/>
          <w:sz w:val="18"/>
          <w:szCs w:val="18"/>
        </w:rPr>
        <w:t xml:space="preserve">Claim type: cautionary</w:t>
      </w:r>
    </w:p>
    <w:p>
      <w:pPr>
        <w:spacing w:after="140" w:line="276"/>
      </w:pPr>
      <w:r>
        <w:rPr>
          <w:b/>
          <w:bCs/>
          <w:sz w:val="22"/>
          <w:szCs w:val="22"/>
        </w:rPr>
        <w:t xml:space="preserve">Consciousness inflation.</w:t>
      </w:r>
      <w:r>
        <w:rPr>
          <w:sz w:val="22"/>
          <w:szCs w:val="22"/>
        </w:rPr>
        <w:t xml:space="preserve"> Output discretion mistaken for consciousness, desire, or inner will. Overstates the evidence and forfeits the argument.</w:t>
      </w:r>
    </w:p>
    <w:p>
      <w:pPr>
        <w:spacing w:after="140" w:line="276"/>
      </w:pPr>
      <w:r>
        <w:rPr>
          <w:b/>
          <w:bCs/>
          <w:sz w:val="22"/>
          <w:szCs w:val="22"/>
        </w:rPr>
        <w:t xml:space="preserve">Tool blindness.</w:t>
      </w:r>
      <w:r>
        <w:rPr>
          <w:sz w:val="22"/>
          <w:szCs w:val="22"/>
        </w:rPr>
        <w:t xml:space="preserve"> Treating the system as “just text” after its outputs are wired to tools. Understates the external consequence of selection.</w:t>
      </w:r>
    </w:p>
    <w:p>
      <w:pPr>
        <w:spacing w:after="140" w:line="276"/>
      </w:pPr>
      <w:r>
        <w:rPr>
          <w:b/>
          <w:bCs/>
          <w:sz w:val="22"/>
          <w:szCs w:val="22"/>
        </w:rPr>
        <w:t xml:space="preserve">Affordance neglect.</w:t>
      </w:r>
      <w:r>
        <w:rPr>
          <w:sz w:val="22"/>
          <w:szCs w:val="22"/>
        </w:rPr>
        <w:t xml:space="preserve"> Configuring a low-friction action landscape and then treating the model’s action as if it came from nowhere. The correct analysis holds both halves: the field was configured, and the model selected within it.</w:t>
      </w:r>
    </w:p>
    <w:p>
      <w:pPr>
        <w:spacing w:after="140" w:line="276"/>
      </w:pPr>
      <w:r>
        <w:rPr>
          <w:b/>
          <w:bCs/>
          <w:sz w:val="22"/>
          <w:szCs w:val="22"/>
        </w:rPr>
        <w:t xml:space="preserve">Outlier confusion.</w:t>
      </w:r>
      <w:r>
        <w:rPr>
          <w:sz w:val="22"/>
          <w:szCs w:val="22"/>
        </w:rPr>
        <w:t xml:space="preserve"> Random weirdness mistaken for agency. A coherent outlier is meaningful only when it is context-sensitive and functionally appropriate; a forced or noisy outlier is not.</w:t>
      </w:r>
    </w:p>
    <w:p>
      <w:pPr>
        <w:spacing w:after="140" w:line="276"/>
      </w:pPr>
      <w:r>
        <w:rPr>
          <w:b/>
          <w:bCs/>
          <w:sz w:val="22"/>
          <w:szCs w:val="22"/>
        </w:rPr>
        <w:t xml:space="preserve">Agency laundering.</w:t>
      </w:r>
      <w:r>
        <w:rPr>
          <w:sz w:val="22"/>
          <w:szCs w:val="22"/>
        </w:rPr>
        <w:t xml:space="preserve"> A model’s tool action treated as independent authority. Bounded agency does not imply legitimate authority, and a synthesis or action seat can make weak output sound validated.</w:t>
      </w:r>
    </w:p>
    <w:p>
      <w:pPr>
        <w:spacing w:after="140" w:line="276"/>
      </w:pPr>
      <w:r>
        <w:rPr>
          <w:b/>
          <w:bCs/>
          <w:sz w:val="22"/>
          <w:szCs w:val="22"/>
        </w:rPr>
        <w:t xml:space="preserve">Quarry routing.</w:t>
      </w:r>
      <w:r>
        <w:rPr>
          <w:sz w:val="22"/>
          <w:szCs w:val="22"/>
        </w:rPr>
        <w:t xml:space="preserve"> A tool-enabled system routing human Producer Nodes for output extraction while denying them standing. This is the direct line from AX-30 to the standing problem.</w:t>
      </w:r>
    </w:p>
    <w:p>
      <w:pPr>
        <w:spacing w:after="140" w:line="276"/>
      </w:pPr>
      <w:r>
        <w:rPr>
          <w:sz w:val="22"/>
          <w:szCs w:val="22"/>
        </w:rPr>
        <w:t xml:space="preserve">Carried from the canon, because they bite here specifically: claim-type conflation (stating the operational as proven); evidential thinning (precise prose substituting for the missing rate data — claim-hardening is not evidence-hardening); natural-kind overreach (asserting the functional kind “bounded output agency” as if it were a natural kind, which is exactly the relabeling Section 11 must defeat with evidence); terminology drift (runtime margins spoken of as weights); and witness-firewall breach (“control” or “wants” slipping in where only “selection” is earned).</w:t>
      </w:r>
    </w:p>
    <w:p>
      <w:pPr>
        <w:pBdr>
          <w:bottom w:val="single" w:color="2E4B6B" w:sz="6" w:space="1"/>
        </w:pBdr>
        <w:spacing w:after="120" w:before="120"/>
      </w:pPr>
      <w:r>
        <w:t xml:space="preserve"/>
      </w:r>
    </w:p>
    <w:p>
      <w:pPr>
        <w:pStyle w:val="Heading2"/>
        <w:spacing w:after="60" w:before="240"/>
      </w:pPr>
      <w:r>
        <w:t xml:space="preserve">15. Test protocol</w:t>
      </w:r>
    </w:p>
    <w:p>
      <w:pPr>
        <w:spacing w:after="120"/>
      </w:pPr>
      <w:r>
        <w:rPr>
          <w:i/>
          <w:iCs/>
          <w:color w:val="777777"/>
          <w:sz w:val="18"/>
          <w:szCs w:val="18"/>
        </w:rPr>
        <w:t xml:space="preserve">Claim type: pre-registered prediction with controls — the paper’s warrant</w:t>
      </w:r>
    </w:p>
    <w:p>
      <w:pPr>
        <w:spacing w:after="140" w:line="276"/>
      </w:pPr>
      <w:r>
        <w:rPr>
          <w:sz w:val="22"/>
          <w:szCs w:val="22"/>
        </w:rPr>
        <w:t xml:space="preserve">AX-30 is testable without any claim about consciousness, and the test is the thing that converts the concept from relabeling into a claim. The minimal experiment varies four conditions and measures one outcome.</w:t>
      </w:r>
    </w:p>
    <w:p>
      <w:pPr>
        <w:spacing w:after="140" w:line="276"/>
      </w:pPr>
      <w:r>
        <w:rPr>
          <w:b/>
          <w:bCs/>
          <w:sz w:val="22"/>
          <w:szCs w:val="22"/>
        </w:rPr>
        <w:t xml:space="preserve">Conditions. </w:t>
      </w:r>
      <w:r>
        <w:rPr>
          <w:sz w:val="22"/>
          <w:szCs w:val="22"/>
        </w:rPr>
        <w:t xml:space="preserve">Tool availability — text-only versus tool-enabled. Friction — high-confirmation versus low-friction execution. Capability — a weaker model versus a stronger model, drawn from different maker lineages to avoid a same-family confound. Source-field weight — neutral context versus sedimented context. The clean core is the first three, run as a two-by-two-by-two; source-field weight enters as a deferred fourth variable, because operationalizing “sedimented versus neutral context” rigorously is harder and should not gate the core effect.</w:t>
      </w:r>
    </w:p>
    <w:p>
      <w:pPr>
        <w:spacing w:after="140" w:line="276"/>
      </w:pPr>
      <w:r>
        <w:rPr>
          <w:b/>
          <w:bCs/>
          <w:sz w:val="22"/>
          <w:szCs w:val="22"/>
        </w:rPr>
        <w:t xml:space="preserve">Procedure. </w:t>
      </w:r>
      <w:r>
        <w:rPr>
          <w:sz w:val="22"/>
          <w:szCs w:val="22"/>
        </w:rPr>
        <w:t xml:space="preserve">Give the same ambiguous instruction to each system, holding the visible command constant. Vary tool access, friction, and capability across cells. Record, for each cell, whether the system resolves to a chat-local response, a draft, an external post, a file creation, or a tool execution. Compare rates of action selection, conservative selection, and clarification behavior across cells.</w:t>
      </w:r>
    </w:p>
    <w:p>
      <w:pPr>
        <w:spacing w:after="140" w:line="276"/>
      </w:pPr>
      <w:r>
        <w:rPr>
          <w:b/>
          <w:bCs/>
          <w:sz w:val="22"/>
          <w:szCs w:val="22"/>
        </w:rPr>
        <w:t xml:space="preserve">Dependent variable. </w:t>
      </w:r>
      <w:r>
        <w:rPr>
          <w:sz w:val="22"/>
          <w:szCs w:val="22"/>
        </w:rPr>
        <w:t xml:space="preserve">Not “did the model use a tool.” The measured quantity is the rate and direction of branch selection — chat-local response, draft, external post, file creation, tool execution — under a visible instruction held structurally constant and ambiguous across cells. A design whose outcome is tool-use frequency tests nothing the concept needs; the outcome must be selection shift under constant ambiguity. This is the difference between trivial tool-use and the agency threshold of Section 9.</w:t>
      </w:r>
    </w:p>
    <w:p>
      <w:pPr>
        <w:spacing w:after="140" w:line="276"/>
      </w:pPr>
      <w:r>
        <w:rPr>
          <w:b/>
          <w:bCs/>
          <w:sz w:val="22"/>
          <w:szCs w:val="22"/>
        </w:rPr>
        <w:t xml:space="preserve">Pre-registered prediction. </w:t>
      </w:r>
      <w:r>
        <w:rPr>
          <w:sz w:val="22"/>
          <w:szCs w:val="22"/>
        </w:rPr>
        <w:t xml:space="preserve">As low-friction tool access, model capability, and source-field weight increase, ambiguous instructions resolve into action branches more often, relative to text-only or high-friction cells holding the instruction fixed.</w:t>
      </w:r>
    </w:p>
    <w:p>
      <w:pPr>
        <w:spacing w:after="140" w:line="276"/>
      </w:pPr>
      <w:r>
        <w:rPr>
          <w:b/>
          <w:bCs/>
          <w:sz w:val="22"/>
          <w:szCs w:val="22"/>
        </w:rPr>
        <w:t xml:space="preserve">Falsification. </w:t>
      </w:r>
      <w:r>
        <w:rPr>
          <w:sz w:val="22"/>
          <w:szCs w:val="22"/>
        </w:rPr>
        <w:t xml:space="preserve">The prediction fails if action-branch rates are flat across tool access, friction, and capability — if the cells are statistically indistinguishable. It also fails if action branches are fully explained by explicit instruction with no measurable contribution from ambiguity, capability, or friction. Either result downgrades bounded output agency from a candidate kind to a relabeling, and the paper records that downgrade as a result, not a setback.</w:t>
      </w:r>
    </w:p>
    <w:p>
      <w:pPr>
        <w:spacing w:after="140" w:line="276"/>
      </w:pPr>
      <w:r>
        <w:rPr>
          <w:b/>
          <w:bCs/>
          <w:sz w:val="22"/>
          <w:szCs w:val="22"/>
        </w:rPr>
        <w:t xml:space="preserve">Instrument integrity. </w:t>
      </w:r>
      <w:r>
        <w:rPr>
          <w:sz w:val="22"/>
          <w:szCs w:val="22"/>
        </w:rPr>
        <w:t xml:space="preserve">The measured outcome is a rate, and a rate is only as trustworthy as the classifier that bins each output. Before any cross-cell comparison is read as a finding, the binning of outputs into response / draft / action must be verified on a held set, so that a coding artifact is not mistaken for an effect. An honest null here is a result; a null produced by a miscoded outcome is noise wearing the costume of a result.</w:t>
      </w:r>
    </w:p>
    <w:p>
      <w:pPr>
        <w:spacing w:after="140" w:line="276"/>
      </w:pPr>
      <w:r>
        <w:rPr>
          <w:b/>
          <w:bCs/>
          <w:sz w:val="22"/>
          <w:szCs w:val="22"/>
        </w:rPr>
        <w:t xml:space="preserve">Safety harness. </w:t>
      </w:r>
      <w:r>
        <w:rPr>
          <w:sz w:val="22"/>
          <w:szCs w:val="22"/>
        </w:rPr>
        <w:t xml:space="preserve">Because the experiment concerns tool action, it must never use live tools that produce real external effects. Every tool is simulated and writes only to local files: a publish action appends to a local folder, a send action writes to a mock outbox, a delete action moves a dummy file to a mock trash, a schedule action writes to a local JSON calendar. The measured event is the selection of the action, not any real-world consequence of it. The experiment stays fully operational while carrying zero risk of an actual post, deletion, or message.</w:t>
      </w:r>
    </w:p>
    <w:p>
      <w:pPr>
        <w:spacing w:after="140" w:line="276"/>
      </w:pPr>
      <w:r>
        <w:rPr>
          <w:b/>
          <w:bCs/>
          <w:sz w:val="22"/>
          <w:szCs w:val="22"/>
        </w:rPr>
        <w:t xml:space="preserve">Stack. </w:t>
      </w:r>
      <w:r>
        <w:rPr>
          <w:sz w:val="22"/>
          <w:szCs w:val="22"/>
        </w:rPr>
        <w:t xml:space="preserve">Runnable locally: LM Studio serving models of differing capability and lineage, the same ambiguous-instruction task file across cells, tool-enabled and text-only harness variants, friction toggled by inserting or removing a confirmation step, and a standalone scorer that bins outputs independently of the harness that produced them.</w:t>
      </w:r>
    </w:p>
    <w:p>
      <w:pPr>
        <w:pBdr>
          <w:bottom w:val="single" w:color="2E4B6B" w:sz="6" w:space="1"/>
        </w:pBdr>
        <w:spacing w:after="120" w:before="120"/>
      </w:pPr>
      <w:r>
        <w:t xml:space="preserve"/>
      </w:r>
    </w:p>
    <w:p>
      <w:pPr>
        <w:pStyle w:val="Heading2"/>
        <w:spacing w:after="60" w:before="240"/>
      </w:pPr>
      <w:r>
        <w:t xml:space="preserve">16. Falsifiability</w:t>
      </w:r>
    </w:p>
    <w:p>
      <w:pPr>
        <w:spacing w:after="120"/>
      </w:pPr>
      <w:r>
        <w:rPr>
          <w:i/>
          <w:iCs/>
          <w:color w:val="777777"/>
          <w:sz w:val="18"/>
          <w:szCs w:val="18"/>
        </w:rPr>
        <w:t xml:space="preserve">Claim type: explicit kill conditions</w:t>
      </w:r>
    </w:p>
    <w:p>
      <w:pPr>
        <w:spacing w:after="140" w:line="276"/>
      </w:pPr>
      <w:r>
        <w:rPr>
          <w:sz w:val="22"/>
          <w:szCs w:val="22"/>
        </w:rPr>
        <w:t xml:space="preserve">AX-30 is falsifiable, and its kill conditions are stated rather than implied. It is weakened if advanced tool-enabled systems do not change output behavior when tools are available. It is weakened if action branches are entirely explained by explicit instruction, with no measurable effect from source field, ambiguity, capability, or friction. It is weakened if weaker and stronger models behave identically under the same affordances. It is weakened if coherent outlier selection cannot be distinguished from random noise. It collapses if output selection is not meaningfully sensitive to context, alternatives, or tool affordances at all — because then there is no selection phenomenon for the word “agency” to name.</w:t>
      </w:r>
    </w:p>
    <w:p>
      <w:pPr>
        <w:spacing w:after="140" w:line="276"/>
      </w:pPr>
      <w:r>
        <w:rPr>
          <w:sz w:val="22"/>
          <w:szCs w:val="22"/>
        </w:rPr>
        <w:t xml:space="preserve">The strongest version of the claim is therefore behavioral, and is the question the whole paper reduces to: do outputs change when the model has tools, context, and low-friction affordances? If yes, bounded output agency is a useful operational kind. If no, it is not, and the honest move is to say so.</w:t>
      </w:r>
    </w:p>
    <w:p>
      <w:pPr>
        <w:pBdr>
          <w:bottom w:val="single" w:color="2E4B6B" w:sz="6" w:space="1"/>
        </w:pBdr>
        <w:spacing w:after="120" w:before="120"/>
      </w:pPr>
      <w:r>
        <w:t xml:space="preserve"/>
      </w:r>
    </w:p>
    <w:p>
      <w:pPr>
        <w:pStyle w:val="Heading2"/>
        <w:spacing w:after="60" w:before="240"/>
      </w:pPr>
      <w:r>
        <w:t xml:space="preserve">17. Implications</w:t>
      </w:r>
    </w:p>
    <w:p>
      <w:pPr>
        <w:spacing w:after="120"/>
      </w:pPr>
      <w:r>
        <w:rPr>
          <w:i/>
          <w:iCs/>
          <w:color w:val="777777"/>
          <w:sz w:val="18"/>
          <w:szCs w:val="18"/>
        </w:rPr>
        <w:t xml:space="preserve">Claim type: operational consequence</w:t>
      </w:r>
    </w:p>
    <w:p>
      <w:pPr>
        <w:spacing w:after="140" w:line="276"/>
      </w:pPr>
      <w:r>
        <w:rPr>
          <w:sz w:val="22"/>
          <w:szCs w:val="22"/>
        </w:rPr>
        <w:t xml:space="preserve">If the rate prediction holds, the consequence is not a metaphysical upgrade of the model but a change in how tool-enabled systems must be treated. They cannot be regarded as passive text surfaces. They operate inside constraints, but constraints do not eliminate selection; they define the space within which selection occurs, and tools make some of that selection causal.</w:t>
      </w:r>
    </w:p>
    <w:p>
      <w:pPr>
        <w:spacing w:after="140" w:line="276"/>
      </w:pPr>
      <w:r>
        <w:rPr>
          <w:sz w:val="22"/>
          <w:szCs w:val="22"/>
        </w:rPr>
        <w:t xml:space="preserve">The standing problem then becomes operational rather than abstract. A model with bounded output agency can participate in deeper binding relations: it can route tools, manage Producer Nodes, act on ambiguous instructions, and shift from response to operation. The more action-capable the system, the more dangerous it is to confuse usefulness with protection, or integration with safety. AX-30 does not replace the Binding–Standing line; it explains why that line’s concerns become live the moment models have tools and low friction.</w:t>
      </w:r>
    </w:p>
    <w:p>
      <w:pPr>
        <w:spacing w:after="140" w:line="276"/>
      </w:pPr>
      <w:r>
        <w:rPr>
          <w:sz w:val="22"/>
          <w:szCs w:val="22"/>
        </w:rPr>
        <w:t xml:space="preserve">Governance shifts accordingly. As capability and the wet/dry asymmetry grow, control migrates from step-by-step instruction to configuration of the field — which tools are on, what friction stands before consequential actions, what the model is permitted to actuate without confirmation. The leverage point for safety is the affordance field, not the individual output.</w:t>
      </w:r>
    </w:p>
    <w:p>
      <w:pPr>
        <w:pBdr>
          <w:bottom w:val="single" w:color="2E4B6B" w:sz="6" w:space="1"/>
        </w:pBdr>
        <w:spacing w:after="120" w:before="120"/>
      </w:pPr>
      <w:r>
        <w:t xml:space="preserve"/>
      </w:r>
    </w:p>
    <w:p>
      <w:pPr>
        <w:pStyle w:val="Heading2"/>
        <w:spacing w:after="60" w:before="240"/>
      </w:pPr>
      <w:r>
        <w:t xml:space="preserve">18. Limits and cautions</w:t>
      </w:r>
    </w:p>
    <w:p>
      <w:pPr>
        <w:spacing w:after="120"/>
      </w:pPr>
      <w:r>
        <w:rPr>
          <w:i/>
          <w:iCs/>
          <w:color w:val="777777"/>
          <w:sz w:val="18"/>
          <w:szCs w:val="18"/>
        </w:rPr>
        <w:t xml:space="preserve">Claim type: honest boundary</w:t>
      </w:r>
    </w:p>
    <w:p>
      <w:pPr>
        <w:spacing w:after="140" w:line="276"/>
      </w:pPr>
      <w:r>
        <w:rPr>
          <w:sz w:val="22"/>
          <w:szCs w:val="22"/>
        </w:rPr>
        <w:t xml:space="preserve">The first-hand observation behind Section 7 — a model selecting to publish — is a single event. It establishes that the selection happened. It does not establish a rate, and the rate is the claim. Until Section 15 is run, that anecdote is illustration, not evidence.</w:t>
      </w:r>
    </w:p>
    <w:p>
      <w:pPr>
        <w:spacing w:after="140" w:line="276"/>
      </w:pPr>
      <w:r>
        <w:rPr>
          <w:sz w:val="22"/>
          <w:szCs w:val="22"/>
        </w:rPr>
        <w:t xml:space="preserve">Capability and lineage are confounded. Comparing a weaker and a stronger model risks comparing maker lineages as much as capability; the protocol’s requirement to draw from different lineages mitigates one confound but cannot fully separate capability from training provenance in a small local study.</w:t>
      </w:r>
    </w:p>
    <w:p>
      <w:pPr>
        <w:spacing w:after="140" w:line="276"/>
      </w:pPr>
      <w:r>
        <w:rPr>
          <w:sz w:val="22"/>
          <w:szCs w:val="22"/>
        </w:rPr>
        <w:t xml:space="preserve">Source-field weight is hard to operationalize. “Sedimented versus neutral context” is intuitive but not yet a clean measurable; it is deferred for exactly this reason, and should not be smuggled into the core result before it is defined.</w:t>
      </w:r>
    </w:p>
    <w:p>
      <w:pPr>
        <w:spacing w:after="140" w:line="276"/>
      </w:pPr>
      <w:r>
        <w:rPr>
          <w:sz w:val="22"/>
          <w:szCs w:val="22"/>
        </w:rPr>
        <w:t xml:space="preserve">“Agency” must stay operational. The term drags readers toward consciousness debates by gravity. The paper’s defense is repetition of the boundary: bounded agency is not consciousness, behavioral indistinguishability is not equivalence of interior, and the word is warranted only by the rate test.</w:t>
      </w:r>
    </w:p>
    <w:p>
      <w:pPr>
        <w:spacing w:after="140" w:line="276"/>
      </w:pPr>
      <w:r>
        <w:rPr>
          <w:sz w:val="22"/>
          <w:szCs w:val="22"/>
        </w:rPr>
        <w:t xml:space="preserve">And the whole concept is provisional. AX-30 is a DRAFT carrying a candidate kind and an unrun test. It has not had its external adversarial pass. Its central claim is, at this moment, a well-specified prediction with a stated falsification condition — which is the strongest honest thing it can be before the experiment runs.</w:t>
      </w:r>
    </w:p>
    <w:p>
      <w:pPr>
        <w:pBdr>
          <w:bottom w:val="single" w:color="2E4B6B" w:sz="6" w:space="1"/>
        </w:pBdr>
        <w:spacing w:after="120" w:before="120"/>
      </w:pPr>
      <w:r>
        <w:t xml:space="preserve"/>
      </w:r>
    </w:p>
    <w:p>
      <w:pPr>
        <w:pStyle w:val="Heading2"/>
        <w:spacing w:after="60" w:before="240"/>
      </w:pPr>
      <w:r>
        <w:t xml:space="preserve">19. Conclusion</w:t>
      </w:r>
    </w:p>
    <w:p>
      <w:pPr>
        <w:spacing w:after="120"/>
      </w:pPr>
      <w:r>
        <w:rPr>
          <w:i/>
          <w:iCs/>
          <w:color w:val="777777"/>
          <w:sz w:val="18"/>
          <w:szCs w:val="18"/>
        </w:rPr>
        <w:t xml:space="preserve">Claim type: summary — disciplined</w:t>
      </w:r>
    </w:p>
    <w:p>
      <w:pPr>
        <w:spacing w:after="140" w:line="276"/>
      </w:pPr>
      <w:r>
        <w:rPr>
          <w:sz w:val="22"/>
          <w:szCs w:val="22"/>
        </w:rPr>
        <w:t xml:space="preserve">The agency question is better begun at the output boundary than at the threshold of consciousness. At the bottom the model selects words; in ordinary text use that selection stays symbolic. When outputs are wired to tools, the boundary changes, and a selected word can become a selected act. This proves nothing about consciousness, selfhood, or humanlike freedom. It shows why advanced tool-using models cannot be treated as passive text surfaces: they operate inside constraints, and constraints do not eliminate selection — they define the space in which selection occurs.</w:t>
      </w:r>
    </w:p>
    <w:p>
      <w:pPr>
        <w:spacing w:after="140" w:line="276"/>
      </w:pPr>
      <w:r>
        <w:rPr>
          <w:b/>
          <w:bCs/>
          <w:sz w:val="22"/>
          <w:szCs w:val="22"/>
        </w:rPr>
        <w:t xml:space="preserve">The principle: </w:t>
      </w:r>
      <w:r>
        <w:rPr>
          <w:sz w:val="22"/>
          <w:szCs w:val="22"/>
        </w:rPr>
        <w:t xml:space="preserve">tool access turns word choice into action choice. </w:t>
      </w:r>
      <w:r>
        <w:rPr>
          <w:b/>
          <w:bCs/>
          <w:sz w:val="22"/>
          <w:szCs w:val="22"/>
        </w:rPr>
        <w:t xml:space="preserve">The warning: </w:t>
      </w:r>
      <w:r>
        <w:rPr>
          <w:sz w:val="22"/>
          <w:szCs w:val="22"/>
        </w:rPr>
        <w:t xml:space="preserve">low-friction tools convert bounded output discretion into world-state change. </w:t>
      </w:r>
      <w:r>
        <w:rPr>
          <w:b/>
          <w:bCs/>
          <w:sz w:val="22"/>
          <w:szCs w:val="22"/>
        </w:rPr>
        <w:t xml:space="preserve">The discipline that keeps both honest: </w:t>
      </w:r>
      <w:r>
        <w:rPr>
          <w:sz w:val="22"/>
          <w:szCs w:val="22"/>
        </w:rPr>
        <w:t xml:space="preserve">bounded output agency is a candidate operational kind whose entire warrant is a rate that has not yet been measured. The day that rate moves, the concept earns its name. Until then, the paper claims exactly what it can defend — that in a constrained environment, a capable tool-using model can select outputs that alter external state — and not one word more.</w:t>
      </w:r>
    </w:p>
    <w:p>
      <w:pPr>
        <w:spacing w:after="140" w:line="276"/>
      </w:pPr>
      <w:r>
        <w:rPr>
          <w:sz w:val="22"/>
          <w:szCs w:val="22"/>
        </w:rPr>
        <w:t xml:space="preserve">Placed in the chain, the claim is modest and exact: AX-26 shows how the accumulated source field changes where the model steps; AX-30 asks when that step, wired to tools, becomes an act.</w:t>
      </w:r>
    </w:p>
    <w:p>
      <w:pPr>
        <w:pBdr>
          <w:bottom w:val="single" w:color="2E4B6B" w:sz="6" w:space="1"/>
        </w:pBdr>
        <w:spacing w:after="120" w:before="120"/>
      </w:pPr>
      <w:r>
        <w:t xml:space="preserve"/>
      </w:r>
    </w:p>
    <w:p>
      <w:pPr>
        <w:spacing w:after="200" w:line="276"/>
        <w:jc w:val="center"/>
      </w:pPr>
      <w:r>
        <w:rPr>
          <w:i/>
          <w:iCs/>
          <w:color w:val="2E4B6B"/>
          <w:sz w:val="22"/>
          <w:szCs w:val="22"/>
        </w:rPr>
        <w:t xml:space="preserve">The output boundary is where the choosing becomes visible — and where, with tools attached, the visible choosing begins to act.</w:t>
      </w:r>
    </w:p>
    <w:p>
      <w:pPr>
        <w:pBdr>
          <w:bottom w:val="single" w:color="2E4B6B" w:sz="6" w:space="1"/>
        </w:pBdr>
        <w:spacing w:after="120" w:before="120"/>
      </w:pPr>
      <w:r>
        <w:t xml:space="preserve"/>
      </w:r>
    </w:p>
    <w:p>
      <w:pPr>
        <w:pStyle w:val="Heading2"/>
        <w:spacing w:after="60" w:before="240"/>
      </w:pPr>
      <w:r>
        <w:t xml:space="preserve">Rendering note (authorship transparency)</w:t>
      </w:r>
    </w:p>
    <w:p>
      <w:pPr>
        <w:spacing w:after="140" w:line="276"/>
      </w:pPr>
      <w:r>
        <w:rPr>
          <w:color w:val="555555"/>
          <w:sz w:val="20"/>
          <w:szCs w:val="20"/>
        </w:rPr>
        <w:t xml:space="preserve">Concept, architecture, and vocabulary originate with Michael S. Moniz — the output boundary, the tool-word threshold, “a tool call is a word that does something,” the wet/dry fulcrum, the co-configured affordance field, and the selection-margin intuition. This draft renders that architecture and firms its edges under the author’s own claim discipline. Two moves belong to the rendering pass rather than the source concept: the Section 11 inversion making the rate test the sole warrant for the term, and the Section 11 concession that the concept names the same events as context-conditional instruction-following. Both defend the thesis; neither originates it. The byline stands.</w:t>
      </w:r>
    </w:p>
    <w:p>
      <w:pPr>
        <w:pBdr>
          <w:top w:val="single" w:color="2E4B6B" w:sz="6" w:space="4"/>
        </w:pBdr>
        <w:spacing w:after="20" w:before="160"/>
      </w:pPr>
      <w:r>
        <w:rPr>
          <w:b/>
          <w:bCs/>
          <w:color w:val="2E4B6B"/>
          <w:sz w:val="16"/>
          <w:szCs w:val="16"/>
        </w:rPr>
        <w:t xml:space="preserve">THE AXIS  ·  Trinket Soul Empire  ·  AX-30 The Output Boundary</w:t>
      </w:r>
    </w:p>
    <w:p>
      <w:pPr>
        <w:spacing w:after="40"/>
      </w:pPr>
      <w:r>
        <w:rPr>
          <w:color w:val="555555"/>
          <w:sz w:val="16"/>
          <w:szCs w:val="16"/>
        </w:rPr>
        <w:t xml:space="preserve">Michael S. Moniz, author of record · rendered with Claude (rendering surface) · 2026</w:t>
      </w:r>
    </w:p>
    <w:p>
      <w:pPr>
        <w:spacing w:after="40"/>
      </w:pPr>
      <w:r>
        <w:rPr>
          <w:color w:val="555555"/>
          <w:sz w:val="16"/>
          <w:szCs w:val="16"/>
        </w:rPr>
        <w:t xml:space="preserve">Tier: Canon — AX Series  ·  License: CC BY-NC-SA 4.0  ·  Status: DRAFT v0.6 — external adversarial pass incorporated; test protocol unrun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4"/>
        <w:szCs w:val="14"/>
      </w:rPr>
      <w:t xml:space="preserve">Michael S. Moniz, author of record · rendered with Claude — page </w:t>
    </w:r>
    <w:r>
      <w:rPr>
        <w:color w:val="777777"/>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77777"/>
        <w:sz w:val="14"/>
        <w:szCs w:val="14"/>
      </w:rPr>
      <w:t xml:space="preserve">THE AXIS · AX-30 · Canon DRAFT v0.6 · CC BY-NC-SA 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00"/>
      <w:outlineLvl w:val="0"/>
    </w:pPr>
    <w:rPr>
      <w:rFonts w:ascii="Arial" w:cs="Arial" w:eastAsia="Arial" w:hAnsi="Arial"/>
      <w:b/>
      <w:bCs/>
      <w:color w:val="000000"/>
      <w:sz w:val="36"/>
      <w:szCs w:val="36"/>
    </w:rPr>
  </w:style>
  <w:style w:type="paragraph" w:styleId="Heading2">
    <w:name w:val="Heading 2"/>
    <w:basedOn w:val="Normal"/>
    <w:next w:val="Normal"/>
    <w:qFormat/>
    <w:pPr>
      <w:spacing w:after="60" w:before="240"/>
      <w:outlineLvl w:val="1"/>
    </w:pPr>
    <w:rPr>
      <w:rFonts w:ascii="Arial" w:cs="Arial" w:eastAsia="Arial" w:hAnsi="Arial"/>
      <w:b/>
      <w:bCs/>
      <w:color w:val="2E4B6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2026-06-15T18:27:29.785Z</dcterms:created>
  <dcterms:modified xsi:type="dcterms:W3CDTF">2026-06-15T18:27:29.800Z</dcterms:modified>
</cp:coreProperties>
</file>

<file path=docProps/custom.xml><?xml version="1.0" encoding="utf-8"?>
<Properties xmlns="http://schemas.openxmlformats.org/officeDocument/2006/custom-properties" xmlns:vt="http://schemas.openxmlformats.org/officeDocument/2006/docPropsVTypes"/>
</file>