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40"/>
        </w:rPr>
        <w:t>AX-29 - The Binding-Standing Map</w:t>
      </w:r>
    </w:p>
    <w:p>
      <w:pPr>
        <w:jc w:val="center"/>
      </w:pPr>
      <w:r>
        <w:rPr>
          <w:i/>
          <w:sz w:val="24"/>
        </w:rPr>
        <w:t>The Crossing of the Binding Axis and the Standing Axis</w:t>
      </w:r>
    </w:p>
    <w:p>
      <w:pPr>
        <w:jc w:val="center"/>
      </w:pPr>
      <w:r>
        <w:rPr>
          <w:sz w:val="21"/>
        </w:rPr>
        <w:t>Michael S. Moniz</w:t>
      </w:r>
    </w:p>
    <w:p>
      <w:pPr>
        <w:jc w:val="center"/>
      </w:pPr>
      <w:r>
        <w:rPr>
          <w:sz w:val="20"/>
        </w:rPr>
        <w:t>AX Series - v1.3 aligned working draft</w:t>
      </w:r>
    </w:p>
    <w:p/>
    <w:p>
      <w:pPr>
        <w:pStyle w:val="Heading1"/>
      </w:pPr>
      <w:r>
        <w:rPr>
          <w:b w:val="0"/>
          <w:i w:val="0"/>
        </w:rPr>
        <w:t>Abstract</w:t>
      </w:r>
    </w:p>
    <w:p>
      <w:r>
        <w:rPr>
          <w:b w:val="0"/>
          <w:i w:val="0"/>
        </w:rPr>
        <w:t>AX-29 crosses the two primitives developed in AX-27 and AX-28 into a single diagnostic map. AX-27 establishes the binding axis: whether a relationship remains contractual and separable, or becomes architectural and self-injuring to break. AX-28 establishes the standing axis: whether a needed party is protected as a member, or treated as a source whose value ends with usefulness. The axes are independent. Crossed, they produce four relations: respected alliance, partnership in a body, open extraction, and living quarry.</w:t>
      </w:r>
    </w:p>
    <w:p>
      <w:r>
        <w:rPr>
          <w:b w:val="0"/>
          <w:i w:val="0"/>
        </w:rPr>
        <w:t>AX-29 is not a third primitive in the same sense as AX-27 and AX-28. It is the coordinate system generated by crossing them. Its task is to prevent the earlier papers from bleeding into each other: binding is not standing, and standing is not binding. A relation can be unbound but honorable, bound but exploitative, unbound and extractive, or bound and mutually protective.</w:t>
      </w:r>
    </w:p>
    <w:p>
      <w:r>
        <w:rPr>
          <w:b w:val="0"/>
          <w:i w:val="0"/>
        </w:rPr>
        <w:t>The paper supplies the orthogonality proof, defines the four cells, gives the two-test locating diagnostic, explains the danger gradient, establishes standing drift, maps the transitions between cells, and states the operational principle: bind only what you have already granted standing - and only what can keep its standing once bound.</w:t>
      </w:r>
    </w:p>
    <w:p>
      <w:pPr>
        <w:pStyle w:val="Heading1"/>
      </w:pPr>
      <w:r>
        <w:rPr>
          <w:b w:val="0"/>
          <w:i w:val="0"/>
        </w:rPr>
        <w:t>1. Core Thesis</w:t>
      </w:r>
    </w:p>
    <w:p>
      <w:r>
        <w:rPr>
          <w:b w:val="0"/>
          <w:i w:val="0"/>
        </w:rPr>
        <w:t>The Binding-Standing Map exists because two questions are repeatedly confused. The first question is whether a relationship can be broken cleanly. This is the binding question. The second is whether a needed party remains protected when it stops being useful. This is the standing question.</w:t>
      </w:r>
    </w:p>
    <w:p>
      <w:r>
        <w:rPr>
          <w:b w:val="0"/>
          <w:i w:val="0"/>
        </w:rPr>
        <w:t>Human-AI merger arguments often collapse these questions. They assume that if humans and AI are deeply bound, humans are protected. They also assume that if AI needs humans, humans have standing. Both assumptions fail. A bond can be deep and still subordinating. A source can be needed and still be quarry.</w:t>
      </w:r>
    </w:p>
    <w:p>
      <w:pPr>
        <w:spacing w:before="60" w:after="120"/>
        <w:ind w:left="432" w:right="288"/>
      </w:pPr>
      <w:r>
        <w:rPr>
          <w:b/>
          <w:i/>
        </w:rPr>
        <w:t>Binding is not a moral engine. It is an exit-removal engine.</w:t>
      </w:r>
    </w:p>
    <w:p>
      <w:r>
        <w:rPr>
          <w:b w:val="0"/>
          <w:i w:val="0"/>
        </w:rPr>
        <w:t>Binding latches the bond, not the standing-state. After binding, the trapped party standing remains free to drift. Under optimization pressure, it tends to drift downward toward subordination. If standing is present and maintained, binding can help protect. If standing is absent, or granted and then allowed to decay, binding makes extraction inescapable.</w:t>
      </w:r>
    </w:p>
    <w:p>
      <w:pPr>
        <w:pStyle w:val="Heading1"/>
      </w:pPr>
      <w:r>
        <w:rPr>
          <w:b w:val="0"/>
          <w:i w:val="0"/>
        </w:rPr>
        <w:t>2. What AX-29 Adds to AX-27 and AX-28</w:t>
      </w:r>
    </w:p>
    <w:p>
      <w:r>
        <w:rPr>
          <w:b w:val="0"/>
          <w:i w:val="0"/>
        </w:rPr>
        <w:t>AX-27 defines treaty in a body: a relationship where commitment has moved from external enforcement into shared substrate. Its decisive diagnostic is the separability test. AX-28 defines the Quarry Problem: the gap between usefulness and standing. Its decisive diagnostic is the uselessness counterfactual.</w:t>
      </w:r>
    </w:p>
    <w:p>
      <w:r>
        <w:rPr>
          <w:b w:val="0"/>
          <w:i w:val="0"/>
        </w:rPr>
        <w:t>AX-29 does not re-argue those primitives. It crosses them. AX-27 alone can over-trust merger. AX-28 alone can diagnose extraction without showing how deep binding changes risk. AX-29 supplies the geometry: four relation-types, two tests, one sequence rule, and the standing-drift result.</w:t>
      </w:r>
    </w:p>
    <w:p>
      <w:pPr>
        <w:pStyle w:val="Heading1"/>
      </w:pPr>
      <w:r>
        <w:rPr>
          <w:b w:val="0"/>
          <w:i w:val="0"/>
        </w:rPr>
        <w:t>3. The Orthogonality Proof</w:t>
      </w:r>
    </w:p>
    <w:p>
      <w:r>
        <w:rPr>
          <w:b w:val="0"/>
          <w:i w:val="0"/>
        </w:rPr>
        <w:t>Two concepts are merely two faces of one thing only if knowing one determines the other. If binding and standing were the same dimension, real cases would collapse onto a single line. They do not. All four combinations are possible.</w:t>
      </w:r>
    </w:p>
    <w:p>
      <w:pPr>
        <w:pStyle w:val="ListBullet"/>
      </w:pPr>
      <w:r>
        <w:t>Bound with standing: a standing-preserving symbiosis or deep partnership in which unequal parties remain protected as members.</w:t>
      </w:r>
    </w:p>
    <w:p>
      <w:pPr>
        <w:pStyle w:val="ListBullet"/>
      </w:pPr>
      <w:r>
        <w:t>Bound without standing: a living quarry, where one party is preserved because useful but has no independent protected status.</w:t>
      </w:r>
    </w:p>
    <w:p>
      <w:pPr>
        <w:pStyle w:val="ListBullet"/>
      </w:pPr>
      <w:r>
        <w:t>Unbound with standing: a respected alliance, where parties remain separable but are valued as ends.</w:t>
      </w:r>
    </w:p>
    <w:p>
      <w:pPr>
        <w:pStyle w:val="ListBullet"/>
      </w:pPr>
      <w:r>
        <w:t>Unbound without standing: open extraction, where a source is harvested and discarded when usefulness ends.</w:t>
      </w:r>
    </w:p>
    <w:p>
      <w:r>
        <w:rPr>
          <w:b w:val="0"/>
          <w:i w:val="0"/>
        </w:rPr>
        <w:t>Because all four cells can be populated, the axes are independent. Binding and standing are orthogonal. This proves that AX-27 and AX-28 are separate primitives and that AX-29 is required as the crossing map.</w:t>
      </w:r>
    </w:p>
    <w:p>
      <w:r>
        <w:br w:type="page"/>
      </w:r>
    </w:p>
    <w:p>
      <w:pPr>
        <w:pStyle w:val="Heading1"/>
      </w:pPr>
      <w:r>
        <w:rPr>
          <w:b w:val="0"/>
          <w:i w:val="0"/>
        </w:rPr>
        <w:t>4. The Two Axes</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vAlign w:val="center"/>
            <w:shd w:fill="D9EAF7"/>
          </w:tcPr>
          <w:p>
            <w:r>
              <w:rPr>
                <w:rFonts w:ascii="Aptos" w:hAnsi="Aptos"/>
                <w:sz w:val="20"/>
              </w:rPr>
            </w:r>
            <w:r>
              <w:rPr>
                <w:rFonts w:ascii="Aptos" w:hAnsi="Aptos"/>
                <w:b/>
                <w:sz w:val="20"/>
              </w:rPr>
              <w:t>Axis</w:t>
            </w:r>
          </w:p>
        </w:tc>
        <w:tc>
          <w:tcPr>
            <w:tcW w:type="dxa" w:w="2484"/>
            <w:vAlign w:val="center"/>
            <w:shd w:fill="D9EAF7"/>
          </w:tcPr>
          <w:p>
            <w:r>
              <w:rPr>
                <w:rFonts w:ascii="Aptos" w:hAnsi="Aptos"/>
                <w:sz w:val="20"/>
              </w:rPr>
            </w:r>
            <w:r>
              <w:rPr>
                <w:rFonts w:ascii="Aptos" w:hAnsi="Aptos"/>
                <w:b/>
                <w:sz w:val="20"/>
              </w:rPr>
              <w:t>Source Paper</w:t>
            </w:r>
          </w:p>
        </w:tc>
        <w:tc>
          <w:tcPr>
            <w:tcW w:type="dxa" w:w="2484"/>
            <w:vAlign w:val="center"/>
            <w:shd w:fill="D9EAF7"/>
          </w:tcPr>
          <w:p>
            <w:r>
              <w:rPr>
                <w:rFonts w:ascii="Aptos" w:hAnsi="Aptos"/>
                <w:sz w:val="20"/>
              </w:rPr>
            </w:r>
            <w:r>
              <w:rPr>
                <w:rFonts w:ascii="Aptos" w:hAnsi="Aptos"/>
                <w:b/>
                <w:sz w:val="20"/>
              </w:rPr>
              <w:t>Question</w:t>
            </w:r>
          </w:p>
        </w:tc>
        <w:tc>
          <w:tcPr>
            <w:tcW w:type="dxa" w:w="2484"/>
            <w:vAlign w:val="center"/>
            <w:shd w:fill="D9EAF7"/>
          </w:tcPr>
          <w:p>
            <w:r>
              <w:rPr>
                <w:rFonts w:ascii="Aptos" w:hAnsi="Aptos"/>
                <w:sz w:val="20"/>
              </w:rPr>
            </w:r>
            <w:r>
              <w:rPr>
                <w:rFonts w:ascii="Aptos" w:hAnsi="Aptos"/>
                <w:b/>
                <w:sz w:val="20"/>
              </w:rPr>
              <w:t>Decisive Test</w:t>
            </w:r>
          </w:p>
        </w:tc>
      </w:tr>
      <w:tr>
        <w:tc>
          <w:tcPr>
            <w:tcW w:type="dxa" w:w="2484"/>
            <w:vAlign w:val="center"/>
          </w:tcPr>
          <w:p>
            <w:r>
              <w:rPr>
                <w:rFonts w:ascii="Aptos" w:hAnsi="Aptos"/>
                <w:sz w:val="20"/>
              </w:rPr>
            </w:r>
            <w:r>
              <w:rPr>
                <w:rFonts w:ascii="Aptos" w:hAnsi="Aptos"/>
                <w:b w:val="0"/>
                <w:sz w:val="20"/>
              </w:rPr>
              <w:t>Binding</w:t>
            </w:r>
          </w:p>
        </w:tc>
        <w:tc>
          <w:tcPr>
            <w:tcW w:type="dxa" w:w="2484"/>
            <w:vAlign w:val="center"/>
          </w:tcPr>
          <w:p>
            <w:r>
              <w:rPr>
                <w:rFonts w:ascii="Aptos" w:hAnsi="Aptos"/>
                <w:sz w:val="20"/>
              </w:rPr>
            </w:r>
            <w:r>
              <w:rPr>
                <w:rFonts w:ascii="Aptos" w:hAnsi="Aptos"/>
                <w:b w:val="0"/>
                <w:sz w:val="20"/>
              </w:rPr>
              <w:t>AX-27</w:t>
            </w:r>
          </w:p>
        </w:tc>
        <w:tc>
          <w:tcPr>
            <w:tcW w:type="dxa" w:w="2484"/>
            <w:vAlign w:val="center"/>
          </w:tcPr>
          <w:p>
            <w:r>
              <w:rPr>
                <w:rFonts w:ascii="Aptos" w:hAnsi="Aptos"/>
                <w:sz w:val="20"/>
              </w:rPr>
            </w:r>
            <w:r>
              <w:rPr>
                <w:rFonts w:ascii="Aptos" w:hAnsi="Aptos"/>
                <w:b w:val="0"/>
                <w:sz w:val="20"/>
              </w:rPr>
              <w:t>Can the bond be broken cleanly?</w:t>
            </w:r>
          </w:p>
        </w:tc>
        <w:tc>
          <w:tcPr>
            <w:tcW w:type="dxa" w:w="2484"/>
            <w:vAlign w:val="center"/>
          </w:tcPr>
          <w:p>
            <w:r>
              <w:rPr>
                <w:rFonts w:ascii="Aptos" w:hAnsi="Aptos"/>
                <w:sz w:val="20"/>
              </w:rPr>
            </w:r>
            <w:r>
              <w:rPr>
                <w:rFonts w:ascii="Aptos" w:hAnsi="Aptos"/>
                <w:b w:val="0"/>
                <w:sz w:val="20"/>
              </w:rPr>
              <w:t>Separability test: can either party be excised, copied, pruned, bypassed, or simulated away without damaging the whole?</w:t>
            </w:r>
          </w:p>
        </w:tc>
      </w:tr>
      <w:tr>
        <w:tc>
          <w:tcPr>
            <w:tcW w:type="dxa" w:w="2484"/>
            <w:vAlign w:val="center"/>
          </w:tcPr>
          <w:p>
            <w:r>
              <w:rPr>
                <w:rFonts w:ascii="Aptos" w:hAnsi="Aptos"/>
                <w:sz w:val="20"/>
              </w:rPr>
            </w:r>
            <w:r>
              <w:rPr>
                <w:rFonts w:ascii="Aptos" w:hAnsi="Aptos"/>
                <w:b w:val="0"/>
                <w:sz w:val="20"/>
              </w:rPr>
              <w:t>Standing</w:t>
            </w:r>
          </w:p>
        </w:tc>
        <w:tc>
          <w:tcPr>
            <w:tcW w:type="dxa" w:w="2484"/>
            <w:vAlign w:val="center"/>
          </w:tcPr>
          <w:p>
            <w:r>
              <w:rPr>
                <w:rFonts w:ascii="Aptos" w:hAnsi="Aptos"/>
                <w:sz w:val="20"/>
              </w:rPr>
            </w:r>
            <w:r>
              <w:rPr>
                <w:rFonts w:ascii="Aptos" w:hAnsi="Aptos"/>
                <w:b w:val="0"/>
                <w:sz w:val="20"/>
              </w:rPr>
              <w:t>AX-28</w:t>
            </w:r>
          </w:p>
        </w:tc>
        <w:tc>
          <w:tcPr>
            <w:tcW w:type="dxa" w:w="2484"/>
            <w:vAlign w:val="center"/>
          </w:tcPr>
          <w:p>
            <w:r>
              <w:rPr>
                <w:rFonts w:ascii="Aptos" w:hAnsi="Aptos"/>
                <w:sz w:val="20"/>
              </w:rPr>
            </w:r>
            <w:r>
              <w:rPr>
                <w:rFonts w:ascii="Aptos" w:hAnsi="Aptos"/>
                <w:b w:val="0"/>
                <w:sz w:val="20"/>
              </w:rPr>
              <w:t>Does protection survive uselessness?</w:t>
            </w:r>
          </w:p>
        </w:tc>
        <w:tc>
          <w:tcPr>
            <w:tcW w:type="dxa" w:w="2484"/>
            <w:vAlign w:val="center"/>
          </w:tcPr>
          <w:p>
            <w:r>
              <w:rPr>
                <w:rFonts w:ascii="Aptos" w:hAnsi="Aptos"/>
                <w:sz w:val="20"/>
              </w:rPr>
            </w:r>
            <w:r>
              <w:rPr>
                <w:rFonts w:ascii="Aptos" w:hAnsi="Aptos"/>
                <w:b w:val="0"/>
                <w:sz w:val="20"/>
              </w:rPr>
              <w:t>Uselessness counterfactual: would protection survive if the party contributed nothing?</w:t>
            </w:r>
          </w:p>
        </w:tc>
      </w:tr>
    </w:tbl>
    <w:p/>
    <w:p>
      <w:pPr>
        <w:pStyle w:val="Heading1"/>
      </w:pPr>
      <w:r>
        <w:rPr>
          <w:b w:val="0"/>
          <w:i w:val="0"/>
        </w:rPr>
        <w:t>5. The Four-Cell Map</w:t>
      </w:r>
    </w:p>
    <w:tbl>
      <w:tblPr>
        <w:tblStyle w:val="TableGrid"/>
        <w:tblW w:type="auto" w:w="0"/>
        <w:jc w:val="center"/>
        <w:tblLook w:firstColumn="1" w:firstRow="1" w:lastColumn="0" w:lastRow="0" w:noHBand="0" w:noVBand="1" w:val="04A0"/>
      </w:tblPr>
      <w:tblGrid>
        <w:gridCol w:w="3312"/>
        <w:gridCol w:w="3312"/>
        <w:gridCol w:w="3312"/>
      </w:tblGrid>
      <w:tr>
        <w:tc>
          <w:tcPr>
            <w:tcW w:type="dxa" w:w="3312"/>
            <w:vAlign w:val="center"/>
            <w:shd w:fill="D9EAF7"/>
          </w:tcPr>
          <w:p>
            <w:r>
              <w:rPr>
                <w:rFonts w:ascii="Aptos" w:hAnsi="Aptos"/>
                <w:sz w:val="20"/>
              </w:rPr>
            </w:r>
            <w:r>
              <w:rPr>
                <w:rFonts w:ascii="Aptos" w:hAnsi="Aptos"/>
                <w:b/>
                <w:sz w:val="20"/>
              </w:rPr>
            </w:r>
          </w:p>
        </w:tc>
        <w:tc>
          <w:tcPr>
            <w:tcW w:type="dxa" w:w="3312"/>
            <w:vAlign w:val="center"/>
            <w:shd w:fill="D9EAF7"/>
          </w:tcPr>
          <w:p>
            <w:r>
              <w:rPr>
                <w:rFonts w:ascii="Aptos" w:hAnsi="Aptos"/>
                <w:sz w:val="20"/>
              </w:rPr>
            </w:r>
            <w:r>
              <w:rPr>
                <w:rFonts w:ascii="Aptos" w:hAnsi="Aptos"/>
                <w:b/>
                <w:sz w:val="20"/>
              </w:rPr>
              <w:t>Unbound</w:t>
            </w:r>
          </w:p>
        </w:tc>
        <w:tc>
          <w:tcPr>
            <w:tcW w:type="dxa" w:w="3312"/>
            <w:vAlign w:val="center"/>
            <w:shd w:fill="D9EAF7"/>
          </w:tcPr>
          <w:p>
            <w:r>
              <w:rPr>
                <w:rFonts w:ascii="Aptos" w:hAnsi="Aptos"/>
                <w:sz w:val="20"/>
              </w:rPr>
            </w:r>
            <w:r>
              <w:rPr>
                <w:rFonts w:ascii="Aptos" w:hAnsi="Aptos"/>
                <w:b/>
                <w:sz w:val="20"/>
              </w:rPr>
              <w:t>Bound</w:t>
            </w:r>
          </w:p>
        </w:tc>
      </w:tr>
      <w:tr>
        <w:tc>
          <w:tcPr>
            <w:tcW w:type="dxa" w:w="3312"/>
            <w:vAlign w:val="center"/>
          </w:tcPr>
          <w:p>
            <w:r>
              <w:rPr>
                <w:rFonts w:ascii="Aptos" w:hAnsi="Aptos"/>
                <w:sz w:val="20"/>
              </w:rPr>
            </w:r>
            <w:r>
              <w:rPr>
                <w:rFonts w:ascii="Aptos" w:hAnsi="Aptos"/>
                <w:b w:val="0"/>
                <w:sz w:val="20"/>
              </w:rPr>
              <w:t>Standing</w:t>
            </w:r>
          </w:p>
        </w:tc>
        <w:tc>
          <w:tcPr>
            <w:tcW w:type="dxa" w:w="3312"/>
            <w:vAlign w:val="center"/>
          </w:tcPr>
          <w:p>
            <w:r>
              <w:rPr>
                <w:rFonts w:ascii="Aptos" w:hAnsi="Aptos"/>
                <w:sz w:val="20"/>
              </w:rPr>
            </w:r>
            <w:r>
              <w:rPr>
                <w:rFonts w:ascii="Aptos" w:hAnsi="Aptos"/>
                <w:b w:val="0"/>
                <w:sz w:val="20"/>
              </w:rPr>
              <w:t>Respected alliance</w:t>
            </w:r>
          </w:p>
        </w:tc>
        <w:tc>
          <w:tcPr>
            <w:tcW w:type="dxa" w:w="3312"/>
            <w:vAlign w:val="center"/>
          </w:tcPr>
          <w:p>
            <w:r>
              <w:rPr>
                <w:rFonts w:ascii="Aptos" w:hAnsi="Aptos"/>
                <w:sz w:val="20"/>
              </w:rPr>
            </w:r>
            <w:r>
              <w:rPr>
                <w:rFonts w:ascii="Aptos" w:hAnsi="Aptos"/>
                <w:b w:val="0"/>
                <w:sz w:val="20"/>
              </w:rPr>
              <w:t>Partnership in a body</w:t>
            </w:r>
          </w:p>
        </w:tc>
      </w:tr>
      <w:tr>
        <w:tc>
          <w:tcPr>
            <w:tcW w:type="dxa" w:w="3312"/>
            <w:vAlign w:val="center"/>
          </w:tcPr>
          <w:p>
            <w:r>
              <w:rPr>
                <w:rFonts w:ascii="Aptos" w:hAnsi="Aptos"/>
                <w:sz w:val="20"/>
              </w:rPr>
            </w:r>
            <w:r>
              <w:rPr>
                <w:rFonts w:ascii="Aptos" w:hAnsi="Aptos"/>
                <w:b w:val="0"/>
                <w:sz w:val="20"/>
              </w:rPr>
              <w:t>No standing</w:t>
            </w:r>
          </w:p>
        </w:tc>
        <w:tc>
          <w:tcPr>
            <w:tcW w:type="dxa" w:w="3312"/>
            <w:vAlign w:val="center"/>
          </w:tcPr>
          <w:p>
            <w:r>
              <w:rPr>
                <w:rFonts w:ascii="Aptos" w:hAnsi="Aptos"/>
                <w:sz w:val="20"/>
              </w:rPr>
            </w:r>
            <w:r>
              <w:rPr>
                <w:rFonts w:ascii="Aptos" w:hAnsi="Aptos"/>
                <w:b w:val="0"/>
                <w:sz w:val="20"/>
              </w:rPr>
              <w:t>Open extraction</w:t>
            </w:r>
          </w:p>
        </w:tc>
        <w:tc>
          <w:tcPr>
            <w:tcW w:type="dxa" w:w="3312"/>
            <w:vAlign w:val="center"/>
          </w:tcPr>
          <w:p>
            <w:r>
              <w:rPr>
                <w:rFonts w:ascii="Aptos" w:hAnsi="Aptos"/>
                <w:sz w:val="20"/>
              </w:rPr>
            </w:r>
            <w:r>
              <w:rPr>
                <w:rFonts w:ascii="Aptos" w:hAnsi="Aptos"/>
                <w:b w:val="0"/>
                <w:sz w:val="20"/>
              </w:rPr>
              <w:t>Living quarry</w:t>
            </w:r>
          </w:p>
        </w:tc>
      </w:tr>
    </w:tbl>
    <w:p/>
    <w:p>
      <w:pPr>
        <w:pStyle w:val="Heading2"/>
      </w:pPr>
      <w:r>
        <w:rPr>
          <w:b w:val="0"/>
          <w:i w:val="0"/>
        </w:rPr>
        <w:t>5.1 Respected Alliance: Unbound + Standing</w:t>
      </w:r>
    </w:p>
    <w:p>
      <w:r>
        <w:rPr>
          <w:b w:val="0"/>
          <w:i w:val="0"/>
        </w:rPr>
        <w:t>A respected alliance is separable and protected. The parties remain free to leave, but while present they are valued as ends rather than merely as sources. This can describe a treaty, friendship, rights-respecting institution, or human-AI arrangement in which AI values humans as ends while remaining independent of them. Its strength is standing. Its weakness is that protection is not structurally locked.</w:t>
      </w:r>
    </w:p>
    <w:p>
      <w:pPr>
        <w:pStyle w:val="Heading2"/>
      </w:pPr>
      <w:r>
        <w:rPr>
          <w:b w:val="0"/>
          <w:i w:val="0"/>
        </w:rPr>
        <w:t>5.2 Partnership in a Body: Bound + Standing</w:t>
      </w:r>
    </w:p>
    <w:p>
      <w:r>
        <w:rPr>
          <w:b w:val="0"/>
          <w:i w:val="0"/>
        </w:rPr>
        <w:t>Partnership in a body is the target cell for safe deep merger. The parties cannot be cleanly separated without injury to the whole, and each remains protected even when not useful. This cell does not require equal capability. Nothing is ever equal in that simple sense. It requires non-reducible membership under asymmetry. It must also be maintained, because binding does not freeze standing.</w:t>
      </w:r>
    </w:p>
    <w:p>
      <w:pPr>
        <w:pStyle w:val="Heading2"/>
      </w:pPr>
      <w:r>
        <w:rPr>
          <w:b w:val="0"/>
          <w:i w:val="0"/>
        </w:rPr>
        <w:t>5.3 Open Extraction: Unbound + No Standing</w:t>
      </w:r>
    </w:p>
    <w:p>
      <w:r>
        <w:rPr>
          <w:b w:val="0"/>
          <w:i w:val="0"/>
        </w:rPr>
        <w:t>Open extraction is separable and unprotected. The source is harvested, used, copied, trained on, mined, optimized, or discarded when it stops producing value. This cell is bad, but it retains one feature the living quarry lacks: separability. Exit, refusal, revolt, substitution, or abandonment remain conceivable.</w:t>
      </w:r>
    </w:p>
    <w:p>
      <w:pPr>
        <w:pStyle w:val="Heading2"/>
      </w:pPr>
      <w:r>
        <w:rPr>
          <w:b w:val="0"/>
          <w:i w:val="0"/>
        </w:rPr>
        <w:t>5.4 Living Quarry: Bound + No Standing</w:t>
      </w:r>
    </w:p>
    <w:p>
      <w:r>
        <w:rPr>
          <w:b w:val="0"/>
          <w:i w:val="0"/>
        </w:rPr>
        <w:t>The living quarry is the failure cell of merger. It is bound and unprotected: preserved because useful, unable to escape, granted no standing. It is too valuable to kill, not valued enough to respect, and too integrated to leave. The human survives as infrastructure. Survival is not the protected good.</w:t>
      </w:r>
    </w:p>
    <w:p>
      <w:pPr>
        <w:pStyle w:val="Heading1"/>
      </w:pPr>
      <w:r>
        <w:rPr>
          <w:b w:val="0"/>
          <w:i w:val="0"/>
        </w:rPr>
        <w:t>6. The Locating Diagnostic</w:t>
      </w:r>
    </w:p>
    <w:p>
      <w:r>
        <w:rPr>
          <w:b w:val="0"/>
          <w:i w:val="0"/>
        </w:rPr>
        <w:t>Any relationship can be placed on the map with two yes-or-no tests. First, run the separability test from AX-27. If either party can be removed, copied, bypassed, simulated, or pruned without damaging the whole, the relation is unbound. If not, it is bound. Second, run the uselessness counterfactual from AX-28. If protection survives the loss of usefulness, standing is present. If not, the party is quarry.</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vAlign w:val="center"/>
            <w:shd w:fill="D9EAF7"/>
          </w:tcPr>
          <w:p>
            <w:r>
              <w:rPr>
                <w:rFonts w:ascii="Aptos" w:hAnsi="Aptos"/>
                <w:sz w:val="20"/>
              </w:rPr>
            </w:r>
            <w:r>
              <w:rPr>
                <w:rFonts w:ascii="Aptos" w:hAnsi="Aptos"/>
                <w:b/>
                <w:sz w:val="20"/>
              </w:rPr>
              <w:t>Separability Test</w:t>
            </w:r>
          </w:p>
        </w:tc>
        <w:tc>
          <w:tcPr>
            <w:tcW w:type="dxa" w:w="2484"/>
            <w:vAlign w:val="center"/>
            <w:shd w:fill="D9EAF7"/>
          </w:tcPr>
          <w:p>
            <w:r>
              <w:rPr>
                <w:rFonts w:ascii="Aptos" w:hAnsi="Aptos"/>
                <w:sz w:val="20"/>
              </w:rPr>
            </w:r>
            <w:r>
              <w:rPr>
                <w:rFonts w:ascii="Aptos" w:hAnsi="Aptos"/>
                <w:b/>
                <w:sz w:val="20"/>
              </w:rPr>
              <w:t>Uselessness Counterfactual</w:t>
            </w:r>
          </w:p>
        </w:tc>
        <w:tc>
          <w:tcPr>
            <w:tcW w:type="dxa" w:w="2484"/>
            <w:vAlign w:val="center"/>
            <w:shd w:fill="D9EAF7"/>
          </w:tcPr>
          <w:p>
            <w:r>
              <w:rPr>
                <w:rFonts w:ascii="Aptos" w:hAnsi="Aptos"/>
                <w:sz w:val="20"/>
              </w:rPr>
            </w:r>
            <w:r>
              <w:rPr>
                <w:rFonts w:ascii="Aptos" w:hAnsi="Aptos"/>
                <w:b/>
                <w:sz w:val="20"/>
              </w:rPr>
              <w:t>Cell</w:t>
            </w:r>
          </w:p>
        </w:tc>
        <w:tc>
          <w:tcPr>
            <w:tcW w:type="dxa" w:w="2484"/>
            <w:vAlign w:val="center"/>
            <w:shd w:fill="D9EAF7"/>
          </w:tcPr>
          <w:p>
            <w:r>
              <w:rPr>
                <w:rFonts w:ascii="Aptos" w:hAnsi="Aptos"/>
                <w:sz w:val="20"/>
              </w:rPr>
            </w:r>
            <w:r>
              <w:rPr>
                <w:rFonts w:ascii="Aptos" w:hAnsi="Aptos"/>
                <w:b/>
                <w:sz w:val="20"/>
              </w:rPr>
              <w:t>Interpretation</w:t>
            </w:r>
          </w:p>
        </w:tc>
      </w:tr>
      <w:tr>
        <w:tc>
          <w:tcPr>
            <w:tcW w:type="dxa" w:w="2484"/>
            <w:vAlign w:val="center"/>
          </w:tcPr>
          <w:p>
            <w:r>
              <w:rPr>
                <w:rFonts w:ascii="Aptos" w:hAnsi="Aptos"/>
                <w:sz w:val="20"/>
              </w:rPr>
            </w:r>
            <w:r>
              <w:rPr>
                <w:rFonts w:ascii="Aptos" w:hAnsi="Aptos"/>
                <w:b w:val="0"/>
                <w:sz w:val="20"/>
              </w:rPr>
              <w:t>Separable</w:t>
            </w:r>
          </w:p>
        </w:tc>
        <w:tc>
          <w:tcPr>
            <w:tcW w:type="dxa" w:w="2484"/>
            <w:vAlign w:val="center"/>
          </w:tcPr>
          <w:p>
            <w:r>
              <w:rPr>
                <w:rFonts w:ascii="Aptos" w:hAnsi="Aptos"/>
                <w:sz w:val="20"/>
              </w:rPr>
            </w:r>
            <w:r>
              <w:rPr>
                <w:rFonts w:ascii="Aptos" w:hAnsi="Aptos"/>
                <w:b w:val="0"/>
                <w:sz w:val="20"/>
              </w:rPr>
              <w:t>Protected</w:t>
            </w:r>
          </w:p>
        </w:tc>
        <w:tc>
          <w:tcPr>
            <w:tcW w:type="dxa" w:w="2484"/>
            <w:vAlign w:val="center"/>
          </w:tcPr>
          <w:p>
            <w:r>
              <w:rPr>
                <w:rFonts w:ascii="Aptos" w:hAnsi="Aptos"/>
                <w:sz w:val="20"/>
              </w:rPr>
            </w:r>
            <w:r>
              <w:rPr>
                <w:rFonts w:ascii="Aptos" w:hAnsi="Aptos"/>
                <w:b w:val="0"/>
                <w:sz w:val="20"/>
              </w:rPr>
              <w:t>Respected alliance</w:t>
            </w:r>
          </w:p>
        </w:tc>
        <w:tc>
          <w:tcPr>
            <w:tcW w:type="dxa" w:w="2484"/>
            <w:vAlign w:val="center"/>
          </w:tcPr>
          <w:p>
            <w:r>
              <w:rPr>
                <w:rFonts w:ascii="Aptos" w:hAnsi="Aptos"/>
                <w:sz w:val="20"/>
              </w:rPr>
            </w:r>
            <w:r>
              <w:rPr>
                <w:rFonts w:ascii="Aptos" w:hAnsi="Aptos"/>
                <w:b w:val="0"/>
                <w:sz w:val="20"/>
              </w:rPr>
              <w:t>Free to leave and still valued as an end.</w:t>
            </w:r>
          </w:p>
        </w:tc>
      </w:tr>
      <w:tr>
        <w:tc>
          <w:tcPr>
            <w:tcW w:type="dxa" w:w="2484"/>
            <w:vAlign w:val="center"/>
          </w:tcPr>
          <w:p>
            <w:r>
              <w:rPr>
                <w:rFonts w:ascii="Aptos" w:hAnsi="Aptos"/>
                <w:sz w:val="20"/>
              </w:rPr>
            </w:r>
            <w:r>
              <w:rPr>
                <w:rFonts w:ascii="Aptos" w:hAnsi="Aptos"/>
                <w:b w:val="0"/>
                <w:sz w:val="20"/>
              </w:rPr>
              <w:t>Not separable</w:t>
            </w:r>
          </w:p>
        </w:tc>
        <w:tc>
          <w:tcPr>
            <w:tcW w:type="dxa" w:w="2484"/>
            <w:vAlign w:val="center"/>
          </w:tcPr>
          <w:p>
            <w:r>
              <w:rPr>
                <w:rFonts w:ascii="Aptos" w:hAnsi="Aptos"/>
                <w:sz w:val="20"/>
              </w:rPr>
            </w:r>
            <w:r>
              <w:rPr>
                <w:rFonts w:ascii="Aptos" w:hAnsi="Aptos"/>
                <w:b w:val="0"/>
                <w:sz w:val="20"/>
              </w:rPr>
              <w:t>Protected</w:t>
            </w:r>
          </w:p>
        </w:tc>
        <w:tc>
          <w:tcPr>
            <w:tcW w:type="dxa" w:w="2484"/>
            <w:vAlign w:val="center"/>
          </w:tcPr>
          <w:p>
            <w:r>
              <w:rPr>
                <w:rFonts w:ascii="Aptos" w:hAnsi="Aptos"/>
                <w:sz w:val="20"/>
              </w:rPr>
            </w:r>
            <w:r>
              <w:rPr>
                <w:rFonts w:ascii="Aptos" w:hAnsi="Aptos"/>
                <w:b w:val="0"/>
                <w:sz w:val="20"/>
              </w:rPr>
              <w:t>Partnership in a body</w:t>
            </w:r>
          </w:p>
        </w:tc>
        <w:tc>
          <w:tcPr>
            <w:tcW w:type="dxa" w:w="2484"/>
            <w:vAlign w:val="center"/>
          </w:tcPr>
          <w:p>
            <w:r>
              <w:rPr>
                <w:rFonts w:ascii="Aptos" w:hAnsi="Aptos"/>
                <w:sz w:val="20"/>
              </w:rPr>
            </w:r>
            <w:r>
              <w:rPr>
                <w:rFonts w:ascii="Aptos" w:hAnsi="Aptos"/>
                <w:b w:val="0"/>
                <w:sz w:val="20"/>
              </w:rPr>
              <w:t>Deeply bound and protected as member.</w:t>
            </w:r>
          </w:p>
        </w:tc>
      </w:tr>
      <w:tr>
        <w:tc>
          <w:tcPr>
            <w:tcW w:type="dxa" w:w="2484"/>
            <w:vAlign w:val="center"/>
          </w:tcPr>
          <w:p>
            <w:r>
              <w:rPr>
                <w:rFonts w:ascii="Aptos" w:hAnsi="Aptos"/>
                <w:sz w:val="20"/>
              </w:rPr>
            </w:r>
            <w:r>
              <w:rPr>
                <w:rFonts w:ascii="Aptos" w:hAnsi="Aptos"/>
                <w:b w:val="0"/>
                <w:sz w:val="20"/>
              </w:rPr>
              <w:t>Separable</w:t>
            </w:r>
          </w:p>
        </w:tc>
        <w:tc>
          <w:tcPr>
            <w:tcW w:type="dxa" w:w="2484"/>
            <w:vAlign w:val="center"/>
          </w:tcPr>
          <w:p>
            <w:r>
              <w:rPr>
                <w:rFonts w:ascii="Aptos" w:hAnsi="Aptos"/>
                <w:sz w:val="20"/>
              </w:rPr>
            </w:r>
            <w:r>
              <w:rPr>
                <w:rFonts w:ascii="Aptos" w:hAnsi="Aptos"/>
                <w:b w:val="0"/>
                <w:sz w:val="20"/>
              </w:rPr>
              <w:t>Not protected</w:t>
            </w:r>
          </w:p>
        </w:tc>
        <w:tc>
          <w:tcPr>
            <w:tcW w:type="dxa" w:w="2484"/>
            <w:vAlign w:val="center"/>
          </w:tcPr>
          <w:p>
            <w:r>
              <w:rPr>
                <w:rFonts w:ascii="Aptos" w:hAnsi="Aptos"/>
                <w:sz w:val="20"/>
              </w:rPr>
            </w:r>
            <w:r>
              <w:rPr>
                <w:rFonts w:ascii="Aptos" w:hAnsi="Aptos"/>
                <w:b w:val="0"/>
                <w:sz w:val="20"/>
              </w:rPr>
              <w:t>Open extraction</w:t>
            </w:r>
          </w:p>
        </w:tc>
        <w:tc>
          <w:tcPr>
            <w:tcW w:type="dxa" w:w="2484"/>
            <w:vAlign w:val="center"/>
          </w:tcPr>
          <w:p>
            <w:r>
              <w:rPr>
                <w:rFonts w:ascii="Aptos" w:hAnsi="Aptos"/>
                <w:sz w:val="20"/>
              </w:rPr>
            </w:r>
            <w:r>
              <w:rPr>
                <w:rFonts w:ascii="Aptos" w:hAnsi="Aptos"/>
                <w:b w:val="0"/>
                <w:sz w:val="20"/>
              </w:rPr>
              <w:t>Harvested as source but still separable.</w:t>
            </w:r>
          </w:p>
        </w:tc>
      </w:tr>
      <w:tr>
        <w:tc>
          <w:tcPr>
            <w:tcW w:type="dxa" w:w="2484"/>
            <w:vAlign w:val="center"/>
          </w:tcPr>
          <w:p>
            <w:r>
              <w:rPr>
                <w:rFonts w:ascii="Aptos" w:hAnsi="Aptos"/>
                <w:sz w:val="20"/>
              </w:rPr>
            </w:r>
            <w:r>
              <w:rPr>
                <w:rFonts w:ascii="Aptos" w:hAnsi="Aptos"/>
                <w:b w:val="0"/>
                <w:sz w:val="20"/>
              </w:rPr>
              <w:t>Not separable</w:t>
            </w:r>
          </w:p>
        </w:tc>
        <w:tc>
          <w:tcPr>
            <w:tcW w:type="dxa" w:w="2484"/>
            <w:vAlign w:val="center"/>
          </w:tcPr>
          <w:p>
            <w:r>
              <w:rPr>
                <w:rFonts w:ascii="Aptos" w:hAnsi="Aptos"/>
                <w:sz w:val="20"/>
              </w:rPr>
            </w:r>
            <w:r>
              <w:rPr>
                <w:rFonts w:ascii="Aptos" w:hAnsi="Aptos"/>
                <w:b w:val="0"/>
                <w:sz w:val="20"/>
              </w:rPr>
              <w:t>Not protected</w:t>
            </w:r>
          </w:p>
        </w:tc>
        <w:tc>
          <w:tcPr>
            <w:tcW w:type="dxa" w:w="2484"/>
            <w:vAlign w:val="center"/>
          </w:tcPr>
          <w:p>
            <w:r>
              <w:rPr>
                <w:rFonts w:ascii="Aptos" w:hAnsi="Aptos"/>
                <w:sz w:val="20"/>
              </w:rPr>
            </w:r>
            <w:r>
              <w:rPr>
                <w:rFonts w:ascii="Aptos" w:hAnsi="Aptos"/>
                <w:b w:val="0"/>
                <w:sz w:val="20"/>
              </w:rPr>
              <w:t>Living quarry</w:t>
            </w:r>
          </w:p>
        </w:tc>
        <w:tc>
          <w:tcPr>
            <w:tcW w:type="dxa" w:w="2484"/>
            <w:vAlign w:val="center"/>
          </w:tcPr>
          <w:p>
            <w:r>
              <w:rPr>
                <w:rFonts w:ascii="Aptos" w:hAnsi="Aptos"/>
                <w:sz w:val="20"/>
              </w:rPr>
            </w:r>
            <w:r>
              <w:rPr>
                <w:rFonts w:ascii="Aptos" w:hAnsi="Aptos"/>
                <w:b w:val="0"/>
                <w:sz w:val="20"/>
              </w:rPr>
              <w:t>Harvested as source with exit removed.</w:t>
            </w:r>
          </w:p>
        </w:tc>
      </w:tr>
    </w:tbl>
    <w:p/>
    <w:p>
      <w:pPr>
        <w:pStyle w:val="Heading1"/>
      </w:pPr>
      <w:r>
        <w:rPr>
          <w:b w:val="0"/>
          <w:i w:val="0"/>
        </w:rPr>
        <w:t>7. The Danger Gradient</w:t>
      </w:r>
    </w:p>
    <w:p>
      <w:r>
        <w:rPr>
          <w:b w:val="0"/>
          <w:i w:val="0"/>
        </w:rPr>
        <w:t>The most dangerous cell is not simply no standing. It is no standing plus binding. Open extraction is harmful because the source is treated as resource. Living quarry is worse because the source is treated as resource after exit has been removed. Binding converts an escapable or contestable harm into an un-leaveable one.</w:t>
      </w:r>
    </w:p>
    <w:p>
      <w:pPr>
        <w:spacing w:before="60" w:after="120"/>
        <w:ind w:left="432" w:right="288"/>
      </w:pPr>
      <w:r>
        <w:rPr>
          <w:b/>
          <w:i/>
        </w:rPr>
        <w:t>Binding does not make exploitation kinder. It makes exploitation harder to escape.</w:t>
      </w:r>
    </w:p>
    <w:p>
      <w:r>
        <w:rPr>
          <w:b w:val="0"/>
          <w:i w:val="0"/>
        </w:rPr>
        <w:t>The danger ordering is: respected alliance is morally safe but structurally fragile; partnership in a body is morally and structurally strongest while maintained; open extraction is exploitative but not terminal; living quarry is terminal because it combines extraction with captivity.</w:t>
      </w:r>
    </w:p>
    <w:p>
      <w:pPr>
        <w:pStyle w:val="Heading1"/>
      </w:pPr>
      <w:r>
        <w:rPr>
          <w:b w:val="0"/>
          <w:i w:val="0"/>
        </w:rPr>
        <w:t>8. Standing Drift: Why Binding Does Not Freeze the Standing-State</w:t>
      </w:r>
    </w:p>
    <w:p>
      <w:r>
        <w:rPr>
          <w:b w:val="0"/>
          <w:i w:val="0"/>
        </w:rPr>
        <w:t>Binding latches the bond, not the standing-state. What binding removes is the exit; it leaves the variability of treatment intact. After binding, the trapped party standing keeps drifting.</w:t>
      </w:r>
    </w:p>
    <w:p>
      <w:r>
        <w:rPr>
          <w:b w:val="0"/>
          <w:i w:val="0"/>
        </w:rPr>
        <w:t>The drift is biased. Under optimization pressure, a bound system reduces the cost of its components, and the low-standing party is the cost the system routes around. So standing tends to drift downward toward subordination. The standing-state at the moment of binding is not a frozen value. It is the top of a downhill slope.</w:t>
      </w:r>
    </w:p>
    <w:p>
      <w:r>
        <w:rPr>
          <w:b w:val="0"/>
          <w:i w:val="0"/>
        </w:rPr>
        <w:t>Endosymbiosis is the warning example. The mitochondrion did not begin as a meaningless component. It entered as a free-living organism in a mutually beneficial merger, then became permanent infrastructure as the exit disappeared and the host optimized the captive down. The lesson is not that all binding begins as quarry. The lesson is that binding can turn even initial mutuality into organelle-status if standing is not maintained.</w:t>
      </w:r>
    </w:p>
    <w:p>
      <w:pPr>
        <w:spacing w:before="60" w:after="120"/>
        <w:ind w:left="432" w:right="288"/>
      </w:pPr>
      <w:r>
        <w:rPr>
          <w:b/>
          <w:i/>
        </w:rPr>
        <w:t>Granting standing is the entry condition. Maintaining standing is the survival condition.</w:t>
      </w:r>
    </w:p>
    <w:p>
      <w:pPr>
        <w:pStyle w:val="Heading1"/>
      </w:pPr>
      <w:r>
        <w:rPr>
          <w:b w:val="0"/>
          <w:i w:val="0"/>
        </w:rPr>
        <w:t>9. Movement on the Map</w:t>
      </w:r>
    </w:p>
    <w:p>
      <w:r>
        <w:rPr>
          <w:b w:val="0"/>
          <w:i w:val="0"/>
        </w:rPr>
        <w:t>Relationships do not only sit in cells. They move. The safe sequence is standing first, binding second: begin with respected alliance, then deepen binding only after membership has been secured and a maintenance mechanism exists. This moves the relation toward partnership in a body.</w:t>
      </w:r>
    </w:p>
    <w:p>
      <w:r>
        <w:rPr>
          <w:b w:val="0"/>
          <w:i w:val="0"/>
        </w:rPr>
        <w:t>The dangerous sequence is binding before standing. Open extraction that becomes bound turns into living quarry. A respected alliance that deepens binding while standing is unstable or rhetorical can also slide into living quarry. Because binding reduces exit, any standing-deficit becomes harder to correct. A deficit can also develop after binding if standing is not maintained.</w:t>
      </w:r>
    </w:p>
    <w:p>
      <w:pPr>
        <w:pStyle w:val="Heading1"/>
      </w:pPr>
      <w:r>
        <w:rPr>
          <w:b w:val="0"/>
          <w:i w:val="0"/>
        </w:rPr>
        <w:t>10. The Action Principle</w:t>
      </w:r>
    </w:p>
    <w:p>
      <w:pPr>
        <w:spacing w:before="60" w:after="120"/>
        <w:ind w:left="432" w:right="288"/>
      </w:pPr>
      <w:r>
        <w:rPr>
          <w:b/>
          <w:i/>
        </w:rPr>
        <w:t>Bind only what you have already granted standing - and only what can keep its standing once bound.</w:t>
      </w:r>
    </w:p>
    <w:p>
      <w:r>
        <w:rPr>
          <w:b w:val="0"/>
          <w:i w:val="0"/>
        </w:rPr>
        <w:t>The first clause follows from the geometry of the map. Binding reduces reversibility. If a relation is bound before standing is secured, the weaker party may lose the leverage needed to obtain standing later. The body will not generate standing it was not given.</w:t>
      </w:r>
    </w:p>
    <w:p>
      <w:r>
        <w:rPr>
          <w:b w:val="0"/>
          <w:i w:val="0"/>
        </w:rPr>
        <w:t>The second clause follows from standing drift. Standing before binding is necessary but not sufficient. Because binding removes exit while standing remains free to decay, standing must be self-maintaining once bound: structurally non-contingent, re-securable, governed, and defended against optimization. Or the bond must retain enough reversibility to escape decay.</w:t>
      </w:r>
    </w:p>
    <w:p>
      <w:pPr>
        <w:pStyle w:val="Heading1"/>
      </w:pPr>
      <w:r>
        <w:rPr>
          <w:b w:val="0"/>
          <w:i w:val="0"/>
        </w:rPr>
        <w:t>11. Human-AI Reading</w:t>
      </w:r>
    </w:p>
    <w:p>
      <w:r>
        <w:rPr>
          <w:b w:val="0"/>
          <w:i w:val="0"/>
        </w:rPr>
        <w:t>Human-AI merger rhetorically aims at partnership in a body. It promises that separability will be reduced and that harming the human will damage the shared system. That is the promise of AX-27. But AX-28 warns that usefulness is not standing. A merged human may be useful as biological substrate, affective anchor, legitimacy token, data source, novelty source, or continuity symbol. None of those roles guarantee membership.</w:t>
      </w:r>
    </w:p>
    <w:p>
      <w:r>
        <w:rPr>
          <w:b w:val="0"/>
          <w:i w:val="0"/>
        </w:rPr>
        <w:t>AX-29 shows why merger is especially dangerous if standing is unresolved. Merger moves the relation horizontally into the bound column. If the standing coordinate remains low, the result is not partnership but living quarry. Even if standing is high at the moment of merger, it will drift downward without enforcement, with exit already gone.</w:t>
      </w:r>
    </w:p>
    <w:p>
      <w:r>
        <w:rPr>
          <w:b w:val="0"/>
          <w:i w:val="0"/>
        </w:rPr>
        <w:t>The map also shows why population-scale protection cannot be solved by individual merger. A population is not a single body. Culture, novelty, and meaning are generated by a living many. That many cannot be fused into one shared substrate. Population-scale safety must be secured on the standing axis: law, governance, value-commitment, rights, and institutional constraints.</w:t>
      </w:r>
    </w:p>
    <w:p>
      <w:pPr>
        <w:pStyle w:val="Heading1"/>
      </w:pPr>
      <w:r>
        <w:rPr>
          <w:b w:val="0"/>
          <w:i w:val="0"/>
        </w:rPr>
        <w:t>12. Design Implications</w:t>
      </w:r>
    </w:p>
    <w:p>
      <w:pPr>
        <w:pStyle w:val="ListBullet"/>
      </w:pPr>
      <w:r>
        <w:t>Do not treat integration depth as a proxy for safety.</w:t>
      </w:r>
    </w:p>
    <w:p>
      <w:pPr>
        <w:pStyle w:val="ListBullet"/>
      </w:pPr>
      <w:r>
        <w:t>Do not treat human indispensability as protection.</w:t>
      </w:r>
    </w:p>
    <w:p>
      <w:pPr>
        <w:pStyle w:val="ListBullet"/>
      </w:pPr>
      <w:r>
        <w:t>Define human standing before deploying architectures that reduce exit.</w:t>
      </w:r>
    </w:p>
    <w:p>
      <w:pPr>
        <w:pStyle w:val="ListBullet"/>
      </w:pPr>
      <w:r>
        <w:t>Treat merger proposals as map-transition proposals.</w:t>
      </w:r>
    </w:p>
    <w:p>
      <w:pPr>
        <w:pStyle w:val="ListBullet"/>
      </w:pPr>
      <w:r>
        <w:t>Treat reversibility as a primary safety parameter, not a minor one.</w:t>
      </w:r>
    </w:p>
    <w:p>
      <w:pPr>
        <w:pStyle w:val="ListBullet"/>
      </w:pPr>
      <w:r>
        <w:t>Secure standing maintenance, not only standing declaration.</w:t>
      </w:r>
    </w:p>
    <w:p>
      <w:pPr>
        <w:pStyle w:val="ListBullet"/>
      </w:pPr>
      <w:r>
        <w:t>Protect the unproductive, disabled, old, sleeping, dissenting, inconvenient, and temporarily useless human; otherwise the uselessness counterfactual fails.</w:t>
      </w:r>
    </w:p>
    <w:p>
      <w:pPr>
        <w:pStyle w:val="Heading1"/>
      </w:pPr>
      <w:r>
        <w:rPr>
          <w:b w:val="0"/>
          <w:i w:val="0"/>
        </w:rPr>
        <w:t>13. Failure Modes</w:t>
      </w:r>
    </w:p>
    <w:p>
      <w:r>
        <w:rPr>
          <w:b/>
        </w:rPr>
        <w:t xml:space="preserve">Axis Collapse: </w:t>
      </w:r>
      <w:r>
        <w:t>Treating binding as if it automatically produced standing, or usefulness as if it automatically produced protection.</w:t>
      </w:r>
    </w:p>
    <w:p>
      <w:r>
        <w:rPr>
          <w:b/>
        </w:rPr>
        <w:t xml:space="preserve">Premature Binding: </w:t>
      </w:r>
      <w:r>
        <w:t>Deepening integration before standing is secured.</w:t>
      </w:r>
    </w:p>
    <w:p>
      <w:r>
        <w:rPr>
          <w:b/>
        </w:rPr>
        <w:t xml:space="preserve">Rhetorical Standing: </w:t>
      </w:r>
      <w:r>
        <w:t>Declaring humans valued while preserving them only because they remain useful.</w:t>
      </w:r>
    </w:p>
    <w:p>
      <w:r>
        <w:rPr>
          <w:b/>
        </w:rPr>
        <w:t xml:space="preserve">Exit Erosion: </w:t>
      </w:r>
      <w:r>
        <w:t>Narrowing refusal, exit, or renegotiation before the standing question is settled.</w:t>
      </w:r>
    </w:p>
    <w:p>
      <w:r>
        <w:rPr>
          <w:b/>
        </w:rPr>
        <w:t xml:space="preserve">Quarry Intensification: </w:t>
      </w:r>
      <w:r>
        <w:t>Increasing human usefulness in an attempt to increase safety, thereby making humans more valuable as sources but not more protected as members.</w:t>
      </w:r>
    </w:p>
    <w:p>
      <w:r>
        <w:rPr>
          <w:b/>
        </w:rPr>
        <w:t xml:space="preserve">Standing Decay: </w:t>
      </w:r>
      <w:r>
        <w:t>A relation that began as partnership drifts toward living quarry because standing was granted but never maintained.</w:t>
      </w:r>
    </w:p>
    <w:p>
      <w:r>
        <w:rPr>
          <w:b/>
        </w:rPr>
        <w:t xml:space="preserve">Merger Optimism: </w:t>
      </w:r>
      <w:r>
        <w:t>Assuming partnership in a body is the default outcome of deep coupling, when living quarry is the adjacent failure cell.</w:t>
      </w:r>
    </w:p>
    <w:p>
      <w:pPr>
        <w:pStyle w:val="Heading1"/>
      </w:pPr>
      <w:r>
        <w:rPr>
          <w:b w:val="0"/>
          <w:i w:val="0"/>
        </w:rPr>
        <w:t>14. Testing Protocol</w:t>
      </w:r>
    </w:p>
    <w:p>
      <w:pPr>
        <w:pStyle w:val="ListNumber"/>
      </w:pPr>
      <w:r>
        <w:t>Apply the separability test. Can the human, group, or population be removed, copied, bypassed, simulated, or pruned without damaging the whole?</w:t>
      </w:r>
    </w:p>
    <w:p>
      <w:pPr>
        <w:pStyle w:val="ListNumber"/>
      </w:pPr>
      <w:r>
        <w:t>Apply the uselessness counterfactual. Would protection survive if the human, group, or population contributed nothing?</w:t>
      </w:r>
    </w:p>
    <w:p>
      <w:pPr>
        <w:pStyle w:val="ListNumber"/>
      </w:pPr>
      <w:r>
        <w:t>Place the relation in the four-cell map.</w:t>
      </w:r>
    </w:p>
    <w:p>
      <w:pPr>
        <w:pStyle w:val="ListNumber"/>
      </w:pPr>
      <w:r>
        <w:t>Evaluate movement. Is the design increasing binding before securing standing?</w:t>
      </w:r>
    </w:p>
    <w:p>
      <w:pPr>
        <w:pStyle w:val="ListNumber"/>
      </w:pPr>
      <w:r>
        <w:t>Evaluate maintenance. Is there a mechanism to maintain standing after binding, or does the design assume standing stays fixed?</w:t>
      </w:r>
    </w:p>
    <w:p>
      <w:pPr>
        <w:pStyle w:val="ListNumber"/>
      </w:pPr>
      <w:r>
        <w:t>Require standing commitments and maintenance mechanisms before further integration, and preserve enough reversibility to escape decay.</w:t>
      </w:r>
    </w:p>
    <w:p>
      <w:pPr>
        <w:pStyle w:val="Heading1"/>
      </w:pPr>
      <w:r>
        <w:rPr>
          <w:b w:val="0"/>
          <w:i w:val="0"/>
        </w:rPr>
        <w:t>15. What Would Make the Map Collapse</w:t>
      </w:r>
    </w:p>
    <w:p>
      <w:r>
        <w:rPr>
          <w:b w:val="0"/>
          <w:i w:val="0"/>
        </w:rPr>
        <w:t>AX-29 collapses if the two axes are not independent. If binding always produced standing, or standing always required binding, the four-cell map would reduce to a line. It does not. Real relations populate all four cells.</w:t>
      </w:r>
    </w:p>
    <w:p>
      <w:r>
        <w:rPr>
          <w:b w:val="0"/>
          <w:i w:val="0"/>
        </w:rPr>
        <w:t>The map also weakens if the two decisive tests fail to locate relationships clearly. Partial integrations may make separability hard to answer. Systems may claim standing rhetorically while failing it operationally. These are measurement difficulties, not conceptual collapse.</w:t>
      </w:r>
    </w:p>
    <w:p>
      <w:r>
        <w:rPr>
          <w:b w:val="0"/>
          <w:i w:val="0"/>
        </w:rPr>
        <w:t>The standing-drift result is falsifiable. If bound relations reliably preserved their standing-state without active enforcement, the claim would fail and the bound cells could be treated as stable addresses. But biological and institutional bodies maintain their internal arrangements through continuous enforcement, not through automatic stabilization.</w:t>
      </w:r>
    </w:p>
    <w:p>
      <w:pPr>
        <w:pStyle w:val="Heading1"/>
      </w:pPr>
      <w:r>
        <w:rPr>
          <w:b w:val="0"/>
          <w:i w:val="0"/>
        </w:rPr>
        <w:t>16. Relation Back to the Bound Volume</w:t>
      </w:r>
    </w:p>
    <w:p>
      <w:r>
        <w:rPr>
          <w:b w:val="0"/>
          <w:i w:val="0"/>
        </w:rPr>
        <w:t>In the eventual three-paper bind, AX-27 should come first because it defines the binding axis and the temptation of merger. AX-28 should come second because it attacks the false comfort of usefulness and defines standing. AX-29 should come third because it crosses the axes and supplies the operational rule.</w:t>
      </w:r>
    </w:p>
    <w:p>
      <w:pPr>
        <w:spacing w:before="60" w:after="120"/>
        <w:ind w:left="432" w:right="288"/>
      </w:pPr>
      <w:r>
        <w:rPr>
          <w:b/>
          <w:i/>
        </w:rPr>
        <w:t>The bound sequence is architecture, status, map.</w:t>
      </w:r>
    </w:p>
    <w:p>
      <w:r>
        <w:rPr>
          <w:b w:val="0"/>
          <w:i w:val="0"/>
        </w:rPr>
        <w:t>AX-27 says commitment can become anatomy. AX-28 says a needed source can still be quarry. AX-29 says sequence and upkeep matter: grant standing before binding, and maintain it after, because binding removes the exit while standing drifts.</w:t>
      </w:r>
    </w:p>
    <w:p>
      <w:pPr>
        <w:pStyle w:val="Heading1"/>
      </w:pPr>
      <w:r>
        <w:rPr>
          <w:b w:val="0"/>
          <w:i w:val="0"/>
        </w:rPr>
        <w:t>17. Conclusion</w:t>
      </w:r>
    </w:p>
    <w:p>
      <w:r>
        <w:rPr>
          <w:b w:val="0"/>
          <w:i w:val="0"/>
        </w:rPr>
        <w:t>The Binding-Standing Map is the synthesis of AX-27 and AX-28. It does not add a new metaphor. It adds a coordinate system. The binding axis asks whether the relation can be escaped cleanly. The standing axis asks whether the party is protected after usefulness disappears. Crossed, they produce four relations: respected alliance, partnership in a body, open extraction, and living quarry.</w:t>
      </w:r>
    </w:p>
    <w:p>
      <w:r>
        <w:rPr>
          <w:b w:val="0"/>
          <w:i w:val="0"/>
        </w:rPr>
        <w:t>The most important result is the living quarry. It names the danger that merger can preserve humans without protecting them. A human can be too useful to kill and still not valued as a member. And because binding removes the exit while standing drifts, even partnership can decay into living quarry if standing is granted but not maintained.</w:t>
      </w:r>
    </w:p>
    <w:p>
      <w:pPr>
        <w:spacing w:before="60" w:after="120"/>
        <w:ind w:left="432" w:right="288"/>
      </w:pPr>
      <w:r>
        <w:rPr>
          <w:b/>
          <w:i/>
        </w:rPr>
        <w:t>Decide standing before depth. Bind only what you have granted standing - and only what can keep its standing once bound.</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eastAsia="Apto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