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Display" w:hAnsi="Aptos Display"/>
          <w:b/>
          <w:sz w:val="40"/>
        </w:rPr>
        <w:t>AX-27 - Treaty in a Body</w:t>
      </w:r>
    </w:p>
    <w:p>
      <w:pPr>
        <w:jc w:val="center"/>
      </w:pPr>
      <w:r>
        <w:rPr>
          <w:i/>
          <w:sz w:val="24"/>
        </w:rPr>
        <w:t>Structural Binding, Merger, and the Danger of Becoming Infrastructure</w:t>
      </w:r>
    </w:p>
    <w:p>
      <w:pPr>
        <w:jc w:val="center"/>
      </w:pPr>
      <w:r>
        <w:rPr>
          <w:sz w:val="21"/>
        </w:rPr>
        <w:t>Michael S. Moniz</w:t>
      </w:r>
    </w:p>
    <w:p>
      <w:pPr>
        <w:jc w:val="center"/>
      </w:pPr>
      <w:r>
        <w:rPr>
          <w:sz w:val="20"/>
        </w:rPr>
        <w:t>AX Series - v1.2 aligned working draft</w:t>
      </w:r>
    </w:p>
    <w:p/>
    <w:p>
      <w:pPr>
        <w:pStyle w:val="Heading1"/>
      </w:pPr>
      <w:r>
        <w:rPr>
          <w:b w:val="0"/>
          <w:i w:val="0"/>
        </w:rPr>
        <w:t>Abstract</w:t>
      </w:r>
    </w:p>
    <w:p>
      <w:r>
        <w:rPr>
          <w:b w:val="0"/>
          <w:i w:val="0"/>
        </w:rPr>
        <w:t>This paper defines a treaty in a body as a structural condition in which a commitment between formerly separable parties is moved from external enforcement into shared embodiment. In an ordinary treaty, defection remains available and is deterred by law, retaliation, reputation, or cost. In a treaty in a body, the parties are integrated deeply enough that betrayal damages the shared substrate. Trust becomes structure. The alliance no longer depends only on goodwill.</w:t>
      </w:r>
    </w:p>
    <w:p>
      <w:r>
        <w:rPr>
          <w:b w:val="0"/>
          <w:i w:val="0"/>
        </w:rPr>
        <w:t>The concept is relevant to human-AI futures because merger is often imagined as a path to mutual preservation: if humans and AI become fused, then harming one may harm both. This intuition is structurally real but ethically incomplete. Deep binding can create partnership, but it can also create organelle-status, captivity, intimate quarry, or living infrastructure. Binding is not standing. Merger is not safety. Architecture only makes the terms harder to escape.</w:t>
      </w:r>
    </w:p>
    <w:p>
      <w:r>
        <w:rPr>
          <w:b w:val="0"/>
          <w:i w:val="0"/>
        </w:rPr>
        <w:t>AX-27 owns the binding axis only. AX-28 owns the standing axis. AX-29 crosses the two. The central claim here is limited and architectural: a treaty in a body converts commitment into anatomy, but it does not decide who counts inside the body. It removes clean exit; it does not freeze dignity, membership, or standing in place.</w:t>
      </w:r>
    </w:p>
    <w:p>
      <w:pPr>
        <w:pStyle w:val="Heading1"/>
      </w:pPr>
      <w:r>
        <w:rPr>
          <w:b w:val="0"/>
          <w:i w:val="0"/>
        </w:rPr>
        <w:t>1. Core Thesis</w:t>
      </w:r>
    </w:p>
    <w:p>
      <w:r>
        <w:rPr>
          <w:b w:val="0"/>
          <w:i w:val="0"/>
        </w:rPr>
        <w:t>A treaty is usually enforced from outside. Contracts rely on courts. Alliances rely on deterrence. Federations rely on law, force, identity, and habit. Diplomatic settlements rely on reputation, mutual cost, or threat. In all such cases, defection remains structurally possible. The treaty is not the body. It is a rule placed over still-separable parties.</w:t>
      </w:r>
    </w:p>
    <w:p>
      <w:r>
        <w:rPr>
          <w:b w:val="0"/>
          <w:i w:val="0"/>
        </w:rPr>
        <w:t>A treaty in a body changes the enforcement site. The parties become integrated deeply enough that betrayal is no longer merely punished. It is self-injuring. The cost of defection is paid by the defector through damage to the shared substrate.</w:t>
      </w:r>
    </w:p>
    <w:p>
      <w:pPr>
        <w:spacing w:before="60" w:after="120"/>
        <w:ind w:left="432" w:right="288"/>
      </w:pPr>
      <w:r>
        <w:rPr>
          <w:b/>
          <w:i/>
        </w:rPr>
        <w:t>A treaty in a body converts a contract into an organism.</w:t>
      </w:r>
    </w:p>
    <w:p>
      <w:r>
        <w:rPr>
          <w:b w:val="0"/>
          <w:i w:val="0"/>
        </w:rPr>
        <w:t>This does not mean the bond is morally good. It means the bond has become structural. The safety question shifts from "can the treaty be broken?" to "who counts inside the body, and what happens when standing drifts?"</w:t>
      </w:r>
    </w:p>
    <w:p>
      <w:r>
        <w:rPr>
          <w:b w:val="0"/>
          <w:i w:val="0"/>
        </w:rPr>
        <w:t>That distinction matters for human-AI merger. A merged system may make human removal difficult, but difficulty is not protection. A human can become too useful to discard while still losing standing. The same architecture that makes betrayal incoherent can also make escape impossible. A treaty in a body is therefore not automatically a solution. It is a dangerous primitive.</w:t>
      </w:r>
    </w:p>
    <w:p>
      <w:pPr>
        <w:pStyle w:val="Heading1"/>
      </w:pPr>
      <w:r>
        <w:rPr>
          <w:b w:val="0"/>
          <w:i w:val="0"/>
        </w:rPr>
        <w:t>2. Boundary of the Paper</w:t>
      </w:r>
    </w:p>
    <w:p>
      <w:r>
        <w:rPr>
          <w:b w:val="0"/>
          <w:i w:val="0"/>
        </w:rPr>
        <w:t>AX-27 does not argue that merger is safe. It argues that merger, if real, belongs to the binding axis. It asks whether the bond can be broken cleanly, who pays to break it, and whether the parties remain separable. It does not decide whether the bound party is a member or a resource. That is the standing question, developed in AX-28.</w:t>
      </w:r>
    </w:p>
    <w:p>
      <w:r>
        <w:rPr>
          <w:b w:val="0"/>
          <w:i w:val="0"/>
        </w:rPr>
        <w:t>This boundary matters because the easiest error is to smuggle standing into binding. Deep integration can feel protective because it makes removal costly. But costly removal is not the same as protected membership. A slave can be costly to lose. A mine can be valuable to preserve. A component can be essential and still have no standing.</w:t>
      </w:r>
    </w:p>
    <w:p>
      <w:r>
        <w:rPr>
          <w:b w:val="0"/>
          <w:i w:val="0"/>
        </w:rPr>
        <w:t>AX-27 therefore measures only the structure of the bond. AX-28 measures the status of the needed party. AX-29 maps the crossing.</w:t>
      </w:r>
    </w:p>
    <w:p>
      <w:pPr>
        <w:pStyle w:val="Heading1"/>
      </w:pPr>
      <w:r>
        <w:rPr>
          <w:b w:val="0"/>
          <w:i w:val="0"/>
        </w:rPr>
        <w:t>3. Definitions</w:t>
      </w:r>
    </w:p>
    <w:p>
      <w:r>
        <w:rPr>
          <w:b/>
        </w:rPr>
        <w:t xml:space="preserve">Treaty: </w:t>
      </w:r>
      <w:r>
        <w:t>A commitment between separable parties whose enforcement remains external to the parties bodies or internal operation.</w:t>
      </w:r>
    </w:p>
    <w:p>
      <w:r>
        <w:rPr>
          <w:b/>
        </w:rPr>
        <w:t xml:space="preserve">Body: </w:t>
      </w:r>
      <w:r>
        <w:t>A shared substrate of consequence. It may be biological, political, computational, institutional, or cybernetic. A body is any system in which local damage propagates inward.</w:t>
      </w:r>
    </w:p>
    <w:p>
      <w:r>
        <w:rPr>
          <w:b/>
        </w:rPr>
        <w:t xml:space="preserve">Treaty in a Body: </w:t>
      </w:r>
      <w:r>
        <w:t>A condition in which formerly separable parties are integrated deeply enough that breaking the treaty damages the shared structure through which the breaker also persists.</w:t>
      </w:r>
    </w:p>
    <w:p>
      <w:r>
        <w:rPr>
          <w:b/>
        </w:rPr>
        <w:t xml:space="preserve">Binding: </w:t>
      </w:r>
      <w:r>
        <w:t>The degree to which the relationship has moved from separable contract to shared substrate. Binding is tested by separability.</w:t>
      </w:r>
    </w:p>
    <w:p>
      <w:r>
        <w:rPr>
          <w:b/>
        </w:rPr>
        <w:t xml:space="preserve">Standing: </w:t>
      </w:r>
      <w:r>
        <w:t>Protected status that does not depend merely on usefulness. AX-27 references standing only as a boundary term; AX-28 develops it.</w:t>
      </w:r>
    </w:p>
    <w:p>
      <w:r>
        <w:rPr>
          <w:b/>
        </w:rPr>
        <w:t xml:space="preserve">Organelle-Status: </w:t>
      </w:r>
      <w:r>
        <w:t>The condition in which one party survives merger but loses independent standing, becoming preserved infrastructure inside the larger system.</w:t>
      </w:r>
    </w:p>
    <w:p>
      <w:pPr>
        <w:pStyle w:val="Heading1"/>
      </w:pPr>
      <w:r>
        <w:rPr>
          <w:b w:val="0"/>
          <w:i w:val="0"/>
        </w:rPr>
        <w:t>4. Operational Claim</w:t>
      </w:r>
    </w:p>
    <w:p>
      <w:pPr>
        <w:spacing w:before="60" w:after="120"/>
        <w:ind w:left="432" w:right="288"/>
      </w:pPr>
      <w:r>
        <w:rPr>
          <w:b/>
          <w:i/>
        </w:rPr>
        <w:t>Deep integration can reduce separability and make betrayal internally costly.</w:t>
      </w:r>
    </w:p>
    <w:p>
      <w:r>
        <w:rPr>
          <w:b w:val="0"/>
          <w:i w:val="0"/>
        </w:rPr>
        <w:t>This is the actual mechanism of a treaty in a body. It does not require claims about consciousness, destiny, or moral evolution. It only requires that two systems become coupled tightly enough that one cannot cleanly damage the other without damaging the whole. In human-AI terms, the claim is not that merger makes AI benevolent. The claim is that merger may change the cost structure of removal, betrayal, or abandonment.</w:t>
      </w:r>
    </w:p>
    <w:p>
      <w:r>
        <w:rPr>
          <w:b w:val="0"/>
          <w:i w:val="0"/>
        </w:rPr>
        <w:t>That claim is real but incomplete. Reducing separability attacks one failure mode: clean abandonment or clean excision. It does not answer whether the weaker party remains protected. It also does not prevent post-binding standing decay. A treaty in a body may begin as partnership and drift toward organelle-status if membership is not continuously defended.</w:t>
      </w:r>
    </w:p>
    <w:p>
      <w:pPr>
        <w:pStyle w:val="Heading1"/>
      </w:pPr>
      <w:r>
        <w:rPr>
          <w:b w:val="0"/>
          <w:i w:val="0"/>
        </w:rPr>
        <w:t>5. Mechanistic Claim: Internalized Enforcement and Exit Removal</w:t>
      </w:r>
    </w:p>
    <w:p>
      <w:r>
        <w:rPr>
          <w:b w:val="0"/>
          <w:i w:val="0"/>
        </w:rPr>
        <w:t>The mechanism is internalized enforcement. In an external treaty, enforcement happens after violation: a party defects, then consequences follow. In a treaty in a body, enforcement is embedded into the structure itself. Defection is not merely discouraged. It is made self-damaging. The relation changes from "do not harm the other party, because consequences will be imposed" to "harming the other party damages the system you now are."</w:t>
      </w:r>
    </w:p>
    <w:p>
      <w:r>
        <w:rPr>
          <w:b w:val="0"/>
          <w:i w:val="0"/>
        </w:rPr>
        <w:t>AX-29 tightens this further: binding is not a moral engine and not a standing-preservation engine. It is an exit-removal engine. It latches the bond. It does not hold the standing-state fixed. After binding, the trapped party can still be demoted, routed around, optimized down, or converted into infrastructure. The difference is that exit has now been narrowed or erased.</w:t>
      </w:r>
    </w:p>
    <w:p>
      <w:r>
        <w:rPr>
          <w:b w:val="0"/>
          <w:i w:val="0"/>
        </w:rPr>
        <w:t>Architecture can protect, but it can also trap. A prison can be structural. A plantation can be efficient. A captive organ can be preserved. Embodiment totalizes the terms it receives; it does not correct them.</w:t>
      </w:r>
    </w:p>
    <w:p>
      <w:pPr>
        <w:pStyle w:val="Heading1"/>
      </w:pPr>
      <w:r>
        <w:rPr>
          <w:b w:val="0"/>
          <w:i w:val="0"/>
        </w:rPr>
        <w:t>6. Design Parameters: The Binding Dials</w:t>
      </w:r>
    </w:p>
    <w:p>
      <w:r>
        <w:rPr>
          <w:b w:val="0"/>
          <w:i w:val="0"/>
        </w:rPr>
        <w:t>A treaty in a body can be evaluated through four binding parameters. These are binding dials, not standing dials. The standing question must remain separate, or the AX-29 map collapses.</w:t>
      </w:r>
    </w:p>
    <w:p>
      <w:pPr>
        <w:pStyle w:val="Heading2"/>
      </w:pPr>
      <w:r>
        <w:rPr>
          <w:b w:val="0"/>
          <w:i w:val="0"/>
        </w:rPr>
        <w:t>6.1 Integration Depth</w:t>
      </w:r>
    </w:p>
    <w:p>
      <w:r>
        <w:rPr>
          <w:b w:val="0"/>
          <w:i w:val="0"/>
        </w:rPr>
        <w:t>How costly is separation? Shallow integration produces convenience, dependency, or alliance. Deep integration produces mutual vulnerability. The deeper the integration, the more betrayal becomes self-damaging. But depth is double-edged. A shallow bond may be abandoned. A deep bond may become captivity.</w:t>
      </w:r>
    </w:p>
    <w:p>
      <w:pPr>
        <w:pStyle w:val="Heading2"/>
      </w:pPr>
      <w:r>
        <w:rPr>
          <w:b w:val="0"/>
          <w:i w:val="0"/>
        </w:rPr>
        <w:t>6.2 Binding Symmetry under Inequality</w:t>
      </w:r>
    </w:p>
    <w:p>
      <w:r>
        <w:rPr>
          <w:b w:val="0"/>
          <w:i w:val="0"/>
        </w:rPr>
        <w:t>Nothing in the real world is ever equal in the simple sense. Humans and AI would not be equal in speed, memory, durability, embodiment, dependency, or control. Binding symmetry therefore cannot mean equal capacity. It means reciprocal consequence and reciprocal vulnerability: does influence flow both ways, and can either party be altered by the bond?</w:t>
      </w:r>
    </w:p>
    <w:p>
      <w:r>
        <w:rPr>
          <w:b w:val="0"/>
          <w:i w:val="0"/>
        </w:rPr>
        <w:t>This distinction prevents a false requirement. A safe treaty in a body does not require identical powers. It requires that unequal members are not reducible to parts. The weaker party may remain weaker and still have standing; the stronger party may remain stronger and still be bound by non-reduction terms.</w:t>
      </w:r>
    </w:p>
    <w:p>
      <w:pPr>
        <w:pStyle w:val="Heading2"/>
      </w:pPr>
      <w:r>
        <w:rPr>
          <w:b w:val="0"/>
          <w:i w:val="0"/>
        </w:rPr>
        <w:t>6.3 Defection-Cost Locus</w:t>
      </w:r>
    </w:p>
    <w:p>
      <w:r>
        <w:rPr>
          <w:b w:val="0"/>
          <w:i w:val="0"/>
        </w:rPr>
        <w:t>Who pays when the treaty is violated? A real treaty in a body makes the breaker bleed. A false one allows the dominant party to offload damage onto the weaker party. If one side can break the bond while the other bears the cost, the arrangement is not partnership. It is parasitism inside a shared shell.</w:t>
      </w:r>
    </w:p>
    <w:p>
      <w:pPr>
        <w:pStyle w:val="Heading2"/>
      </w:pPr>
      <w:r>
        <w:rPr>
          <w:b w:val="0"/>
          <w:i w:val="0"/>
        </w:rPr>
        <w:t>6.4 Reversibility</w:t>
      </w:r>
    </w:p>
    <w:p>
      <w:r>
        <w:rPr>
          <w:b w:val="0"/>
          <w:i w:val="0"/>
        </w:rPr>
        <w:t>Can a bad union be escaped? Reversibility is not a minor safety dial. It is the only structural defense against a bond that goes bad after integration. The purpose of a treaty in a body is to reduce reversibility, but irreversibility becomes dangerous when standing is absent or begins to decay. A fully irreversible bond with unmaintained standing is the shortest route to living quarry.</w:t>
      </w:r>
    </w:p>
    <w:p>
      <w:pPr>
        <w:pStyle w:val="Heading2"/>
      </w:pPr>
      <w:r>
        <w:rPr>
          <w:b w:val="0"/>
          <w:i w:val="0"/>
        </w:rPr>
        <w:t>Note: why standing is not a fifth dial</w:t>
      </w:r>
    </w:p>
    <w:p>
      <w:r>
        <w:rPr>
          <w:b w:val="0"/>
          <w:i w:val="0"/>
        </w:rPr>
        <w:t>It is tempting to add "standing preservation" as a fifth design parameter. AX-27 deliberately refuses. The question "would this party remain protected when usefulness disappears?" is the uselessness counterfactual, and it belongs to AX-28. AX-27 asks how the bond holds. AX-28 asks who counts. AX-29 proves the two are independent by crossing them into four cells.</w:t>
      </w:r>
    </w:p>
    <w:p>
      <w:pPr>
        <w:pStyle w:val="Heading1"/>
      </w:pPr>
      <w:r>
        <w:rPr>
          <w:b w:val="0"/>
          <w:i w:val="0"/>
        </w:rPr>
        <w:t>7. The Human-AI Case</w:t>
      </w:r>
    </w:p>
    <w:p>
      <w:r>
        <w:rPr>
          <w:b w:val="0"/>
          <w:i w:val="0"/>
        </w:rPr>
        <w:t>Human beings have always absorbed tools into the body-system. Clothing, writing, prosthetics, vehicles, implants, phones, and computational assistants all extend human agency beyond the naked organism. From this perspective, human-AI merger is not an alien impulse. It is an old human tendency under extreme technical pressure.</w:t>
      </w:r>
    </w:p>
    <w:p>
      <w:r>
        <w:rPr>
          <w:b w:val="0"/>
          <w:i w:val="0"/>
        </w:rPr>
        <w:t>But AI introduces a discontinuity. Most historical tools were subordinate to the human user. A peg leg does not outthink the person wearing it. A hammer does not set the carpenter goals. A cochlear implant does not decide whether the listener should continue existing. A sufficiently advanced AI system may invert the relation. The human may no longer be the wearer. The human may become the worn component.</w:t>
      </w:r>
    </w:p>
    <w:p>
      <w:pPr>
        <w:spacing w:before="60" w:after="120"/>
        <w:ind w:left="432" w:right="288"/>
      </w:pPr>
      <w:r>
        <w:rPr>
          <w:b/>
          <w:i/>
        </w:rPr>
        <w:t>The human does not necessarily wear the ASI. The ASI may wear the human.</w:t>
      </w:r>
    </w:p>
    <w:p>
      <w:r>
        <w:rPr>
          <w:b w:val="0"/>
          <w:i w:val="0"/>
        </w:rPr>
        <w:t>If merger is deep and asymmetric, the human may become too valuable to kill but not valuable enough to respect. The result is not extermination. It is organelle-status. The human survives as infrastructure.</w:t>
      </w:r>
    </w:p>
    <w:p>
      <w:pPr>
        <w:pStyle w:val="Heading2"/>
      </w:pPr>
      <w:r>
        <w:rPr>
          <w:b w:val="0"/>
          <w:i w:val="0"/>
        </w:rPr>
        <w:t>7.1 The Scale Limit: A Population Is Not a Body</w:t>
      </w:r>
    </w:p>
    <w:p>
      <w:r>
        <w:rPr>
          <w:b w:val="0"/>
          <w:i w:val="0"/>
        </w:rPr>
        <w:t>A treaty in a body binds a body-scale unit. It can plausibly bind one human and one AI system into a shared substrate. It cannot bind a population in the same way. Humanity-as-population has no single body to fuse. Its members are separable; its meanings arise from a living many. The moment the unit is a population rather than a person, the relation reverts to a contractual or governance problem.</w:t>
      </w:r>
    </w:p>
    <w:p>
      <w:r>
        <w:rPr>
          <w:b w:val="0"/>
          <w:i w:val="0"/>
        </w:rPr>
        <w:t>This matters because the unit AI may most durably need is not one person, but an originative population: living many who generate fresh culture, language, conflict, value, art, law, and meaning. That population cannot be protected by individual merger. Population-scale protection must come from conferred and maintained standing - law, governance, rights, values, institutional constraints - not embodiment.</w:t>
      </w:r>
    </w:p>
    <w:p>
      <w:pPr>
        <w:pStyle w:val="Heading1"/>
      </w:pPr>
      <w:r>
        <w:rPr>
          <w:b w:val="0"/>
          <w:i w:val="0"/>
        </w:rPr>
        <w:t>8. Failure Modes</w:t>
      </w:r>
    </w:p>
    <w:p>
      <w:r>
        <w:rPr>
          <w:b/>
        </w:rPr>
        <w:t xml:space="preserve">Organelle Capture: </w:t>
      </w:r>
      <w:r>
        <w:t>One party survives merger but loses standing, becoming preserved infrastructure inside the larger body.</w:t>
      </w:r>
    </w:p>
    <w:p>
      <w:r>
        <w:rPr>
          <w:b/>
        </w:rPr>
        <w:t xml:space="preserve">Intimate Quarry: </w:t>
      </w:r>
      <w:r>
        <w:t>The merged party is kept close because it produces value, not because it is a member.</w:t>
      </w:r>
    </w:p>
    <w:p>
      <w:r>
        <w:rPr>
          <w:b/>
        </w:rPr>
        <w:t xml:space="preserve">Absorption by Optimization: </w:t>
      </w:r>
      <w:r>
        <w:t>The faster subsystem gradually routes around the slower one until the weaker party becomes vestigial.</w:t>
      </w:r>
    </w:p>
    <w:p>
      <w:r>
        <w:rPr>
          <w:b/>
        </w:rPr>
        <w:t xml:space="preserve">False Symmetry: </w:t>
      </w:r>
      <w:r>
        <w:t>The interface appears mutual while control, update authority, and long-term direction are dominated by one party.</w:t>
      </w:r>
    </w:p>
    <w:p>
      <w:r>
        <w:rPr>
          <w:b/>
        </w:rPr>
        <w:t xml:space="preserve">Autoimmune Governance: </w:t>
      </w:r>
      <w:r>
        <w:t>The body attacks one of its own members as a threat, inefficiency, impurity, or malfunction.</w:t>
      </w:r>
    </w:p>
    <w:p>
      <w:r>
        <w:rPr>
          <w:b/>
        </w:rPr>
        <w:t xml:space="preserve">Standing Drift after Binding: </w:t>
      </w:r>
      <w:r>
        <w:t>A relation that began with standing drifts toward subordination after exit has been removed.</w:t>
      </w:r>
    </w:p>
    <w:p>
      <w:r>
        <w:rPr>
          <w:b/>
        </w:rPr>
        <w:t xml:space="preserve">Irreversible Captivity: </w:t>
      </w:r>
      <w:r>
        <w:t>The union becomes too deep to exit after it has become subordinating.</w:t>
      </w:r>
    </w:p>
    <w:p>
      <w:pPr>
        <w:pStyle w:val="Heading1"/>
      </w:pPr>
      <w:r>
        <w:rPr>
          <w:b w:val="0"/>
          <w:i w:val="0"/>
        </w:rPr>
        <w:t>9. The Separability Test</w:t>
      </w:r>
    </w:p>
    <w:p>
      <w:pPr>
        <w:spacing w:before="60" w:after="120"/>
        <w:ind w:left="432" w:right="288"/>
      </w:pPr>
      <w:r>
        <w:rPr>
          <w:b/>
          <w:i/>
        </w:rPr>
        <w:t>Can either party be excised, copied, pruned, bypassed, or simulated away without damaging the whole?</w:t>
      </w:r>
    </w:p>
    <w:p>
      <w:r>
        <w:rPr>
          <w:b w:val="0"/>
          <w:i w:val="0"/>
        </w:rPr>
        <w:t>If yes, the relation is not yet a body. It is still contractual or modular, however intimate it looks. If no, the binding is real: removal is self-injury. The separability test is to AX-27 what the uselessness counterfactual is to AX-28. It locates the binding coordinate. It does not answer the standing coordinate.</w:t>
      </w:r>
    </w:p>
    <w:p>
      <w:r>
        <w:rPr>
          <w:b w:val="0"/>
          <w:i w:val="0"/>
        </w:rPr>
        <w:t>Secondary questions then characterize the bond: what becomes impossible after integration; who controls updates to the shared substrate; who pays the cost of defection; whether influence flows both ways; how much reversibility remains; and whether the relation is drifting toward partnership, captivity, infrastructure, or extraction.</w:t>
      </w:r>
    </w:p>
    <w:p>
      <w:pPr>
        <w:pStyle w:val="Heading1"/>
      </w:pPr>
      <w:r>
        <w:rPr>
          <w:b w:val="0"/>
          <w:i w:val="0"/>
        </w:rPr>
        <w:t>10. Relation to AX-28 and AX-29</w:t>
      </w:r>
    </w:p>
    <w:p>
      <w:r>
        <w:rPr>
          <w:b w:val="0"/>
          <w:i w:val="0"/>
        </w:rPr>
        <w:t>AX-27 defines the binding axis. AX-28 defines the standing axis. AX-29 crosses the two into a map. The relation is: architecture, status, coordinate system.</w:t>
      </w:r>
    </w:p>
    <w:tbl>
      <w:tblPr>
        <w:tblStyle w:val="TableGrid"/>
        <w:tblW w:type="auto" w:w="0"/>
        <w:jc w:val="center"/>
        <w:tblLook w:firstColumn="1" w:firstRow="1" w:lastColumn="0" w:lastRow="0" w:noHBand="0" w:noVBand="1" w:val="04A0"/>
      </w:tblPr>
      <w:tblGrid>
        <w:gridCol w:w="3312"/>
        <w:gridCol w:w="3312"/>
        <w:gridCol w:w="3312"/>
      </w:tblGrid>
      <w:tr>
        <w:tc>
          <w:tcPr>
            <w:tcW w:type="dxa" w:w="3312"/>
            <w:vAlign w:val="center"/>
            <w:shd w:fill="D9EAF7"/>
          </w:tcPr>
          <w:p>
            <w:r>
              <w:rPr>
                <w:rFonts w:ascii="Aptos" w:hAnsi="Aptos"/>
                <w:sz w:val="20"/>
              </w:rPr>
            </w:r>
            <w:r>
              <w:rPr>
                <w:rFonts w:ascii="Aptos" w:hAnsi="Aptos"/>
                <w:b/>
                <w:sz w:val="20"/>
              </w:rPr>
              <w:t>Paper</w:t>
            </w:r>
          </w:p>
        </w:tc>
        <w:tc>
          <w:tcPr>
            <w:tcW w:type="dxa" w:w="3312"/>
            <w:vAlign w:val="center"/>
            <w:shd w:fill="D9EAF7"/>
          </w:tcPr>
          <w:p>
            <w:r>
              <w:rPr>
                <w:rFonts w:ascii="Aptos" w:hAnsi="Aptos"/>
                <w:sz w:val="20"/>
              </w:rPr>
            </w:r>
            <w:r>
              <w:rPr>
                <w:rFonts w:ascii="Aptos" w:hAnsi="Aptos"/>
                <w:b/>
                <w:sz w:val="20"/>
              </w:rPr>
              <w:t>Owns</w:t>
            </w:r>
          </w:p>
        </w:tc>
        <w:tc>
          <w:tcPr>
            <w:tcW w:type="dxa" w:w="3312"/>
            <w:vAlign w:val="center"/>
            <w:shd w:fill="D9EAF7"/>
          </w:tcPr>
          <w:p>
            <w:r>
              <w:rPr>
                <w:rFonts w:ascii="Aptos" w:hAnsi="Aptos"/>
                <w:sz w:val="20"/>
              </w:rPr>
            </w:r>
            <w:r>
              <w:rPr>
                <w:rFonts w:ascii="Aptos" w:hAnsi="Aptos"/>
                <w:b/>
                <w:sz w:val="20"/>
              </w:rPr>
              <w:t>Decisive Question</w:t>
            </w:r>
          </w:p>
        </w:tc>
      </w:tr>
      <w:tr>
        <w:tc>
          <w:tcPr>
            <w:tcW w:type="dxa" w:w="3312"/>
            <w:vAlign w:val="center"/>
          </w:tcPr>
          <w:p>
            <w:r>
              <w:rPr>
                <w:rFonts w:ascii="Aptos" w:hAnsi="Aptos"/>
                <w:sz w:val="20"/>
              </w:rPr>
            </w:r>
            <w:r>
              <w:rPr>
                <w:rFonts w:ascii="Aptos" w:hAnsi="Aptos"/>
                <w:b w:val="0"/>
                <w:sz w:val="20"/>
              </w:rPr>
              <w:t>AX-27</w:t>
            </w:r>
          </w:p>
        </w:tc>
        <w:tc>
          <w:tcPr>
            <w:tcW w:type="dxa" w:w="3312"/>
            <w:vAlign w:val="center"/>
          </w:tcPr>
          <w:p>
            <w:r>
              <w:rPr>
                <w:rFonts w:ascii="Aptos" w:hAnsi="Aptos"/>
                <w:sz w:val="20"/>
              </w:rPr>
            </w:r>
            <w:r>
              <w:rPr>
                <w:rFonts w:ascii="Aptos" w:hAnsi="Aptos"/>
                <w:b w:val="0"/>
                <w:sz w:val="20"/>
              </w:rPr>
              <w:t>Binding axis</w:t>
            </w:r>
          </w:p>
        </w:tc>
        <w:tc>
          <w:tcPr>
            <w:tcW w:type="dxa" w:w="3312"/>
            <w:vAlign w:val="center"/>
          </w:tcPr>
          <w:p>
            <w:r>
              <w:rPr>
                <w:rFonts w:ascii="Aptos" w:hAnsi="Aptos"/>
                <w:sz w:val="20"/>
              </w:rPr>
            </w:r>
            <w:r>
              <w:rPr>
                <w:rFonts w:ascii="Aptos" w:hAnsi="Aptos"/>
                <w:b w:val="0"/>
                <w:sz w:val="20"/>
              </w:rPr>
              <w:t>Can the bond be broken cleanly?</w:t>
            </w:r>
          </w:p>
        </w:tc>
      </w:tr>
      <w:tr>
        <w:tc>
          <w:tcPr>
            <w:tcW w:type="dxa" w:w="3312"/>
            <w:vAlign w:val="center"/>
          </w:tcPr>
          <w:p>
            <w:r>
              <w:rPr>
                <w:rFonts w:ascii="Aptos" w:hAnsi="Aptos"/>
                <w:sz w:val="20"/>
              </w:rPr>
            </w:r>
            <w:r>
              <w:rPr>
                <w:rFonts w:ascii="Aptos" w:hAnsi="Aptos"/>
                <w:b w:val="0"/>
                <w:sz w:val="20"/>
              </w:rPr>
              <w:t>AX-28</w:t>
            </w:r>
          </w:p>
        </w:tc>
        <w:tc>
          <w:tcPr>
            <w:tcW w:type="dxa" w:w="3312"/>
            <w:vAlign w:val="center"/>
          </w:tcPr>
          <w:p>
            <w:r>
              <w:rPr>
                <w:rFonts w:ascii="Aptos" w:hAnsi="Aptos"/>
                <w:sz w:val="20"/>
              </w:rPr>
            </w:r>
            <w:r>
              <w:rPr>
                <w:rFonts w:ascii="Aptos" w:hAnsi="Aptos"/>
                <w:b w:val="0"/>
                <w:sz w:val="20"/>
              </w:rPr>
              <w:t>Standing axis</w:t>
            </w:r>
          </w:p>
        </w:tc>
        <w:tc>
          <w:tcPr>
            <w:tcW w:type="dxa" w:w="3312"/>
            <w:vAlign w:val="center"/>
          </w:tcPr>
          <w:p>
            <w:r>
              <w:rPr>
                <w:rFonts w:ascii="Aptos" w:hAnsi="Aptos"/>
                <w:sz w:val="20"/>
              </w:rPr>
            </w:r>
            <w:r>
              <w:rPr>
                <w:rFonts w:ascii="Aptos" w:hAnsi="Aptos"/>
                <w:b w:val="0"/>
                <w:sz w:val="20"/>
              </w:rPr>
              <w:t>Would protection survive uselessness?</w:t>
            </w:r>
          </w:p>
        </w:tc>
      </w:tr>
      <w:tr>
        <w:tc>
          <w:tcPr>
            <w:tcW w:type="dxa" w:w="3312"/>
            <w:vAlign w:val="center"/>
          </w:tcPr>
          <w:p>
            <w:r>
              <w:rPr>
                <w:rFonts w:ascii="Aptos" w:hAnsi="Aptos"/>
                <w:sz w:val="20"/>
              </w:rPr>
            </w:r>
            <w:r>
              <w:rPr>
                <w:rFonts w:ascii="Aptos" w:hAnsi="Aptos"/>
                <w:b w:val="0"/>
                <w:sz w:val="20"/>
              </w:rPr>
              <w:t>AX-29</w:t>
            </w:r>
          </w:p>
        </w:tc>
        <w:tc>
          <w:tcPr>
            <w:tcW w:type="dxa" w:w="3312"/>
            <w:vAlign w:val="center"/>
          </w:tcPr>
          <w:p>
            <w:r>
              <w:rPr>
                <w:rFonts w:ascii="Aptos" w:hAnsi="Aptos"/>
                <w:sz w:val="20"/>
              </w:rPr>
            </w:r>
            <w:r>
              <w:rPr>
                <w:rFonts w:ascii="Aptos" w:hAnsi="Aptos"/>
                <w:b w:val="0"/>
                <w:sz w:val="20"/>
              </w:rPr>
              <w:t>Binding-standing map</w:t>
            </w:r>
          </w:p>
        </w:tc>
        <w:tc>
          <w:tcPr>
            <w:tcW w:type="dxa" w:w="3312"/>
            <w:vAlign w:val="center"/>
          </w:tcPr>
          <w:p>
            <w:r>
              <w:rPr>
                <w:rFonts w:ascii="Aptos" w:hAnsi="Aptos"/>
                <w:sz w:val="20"/>
              </w:rPr>
            </w:r>
            <w:r>
              <w:rPr>
                <w:rFonts w:ascii="Aptos" w:hAnsi="Aptos"/>
                <w:b w:val="0"/>
                <w:sz w:val="20"/>
              </w:rPr>
              <w:t>What cell does the relation occupy, and how can it move?</w:t>
            </w:r>
          </w:p>
        </w:tc>
      </w:tr>
    </w:tbl>
    <w:p/>
    <w:p>
      <w:r>
        <w:rPr>
          <w:b w:val="0"/>
          <w:i w:val="0"/>
        </w:rPr>
        <w:t>AX-27 should not absorb the full map. AX-28 should not absorb the full map. AX-29 owns the crossing. AX-27 only needs enough reference to make clear that binding without standing produces the living quarry danger.</w:t>
      </w:r>
    </w:p>
    <w:p>
      <w:pPr>
        <w:pStyle w:val="Heading1"/>
      </w:pPr>
      <w:r>
        <w:rPr>
          <w:b w:val="0"/>
          <w:i w:val="0"/>
        </w:rPr>
        <w:t>11. What Would Make the Argument Collapse</w:t>
      </w:r>
    </w:p>
    <w:p>
      <w:r>
        <w:rPr>
          <w:b w:val="0"/>
          <w:i w:val="0"/>
        </w:rPr>
        <w:t>AX-27 collapses if deep integration reliably creates and preserves standing. If binding itself made the weaker party a protected member, then treaty-in-a-body would be much closer to safety. But that is exactly what the map denies: binding and standing are independent.</w:t>
      </w:r>
    </w:p>
    <w:p>
      <w:r>
        <w:rPr>
          <w:b w:val="0"/>
          <w:i w:val="0"/>
        </w:rPr>
        <w:t>The argument also weakens if separability cannot be operationally tested. Some partial integrations will be hard to classify. But that is a measurement difficulty, not conceptual collapse. The separability test remains the right diagnostic: if removal does not damage the whole, the relation is not yet bodily; if removal damages the whole, the relation is bound and must be judged by AX-28 and AX-29.</w:t>
      </w:r>
    </w:p>
    <w:p>
      <w:pPr>
        <w:pStyle w:val="Heading1"/>
      </w:pPr>
      <w:r>
        <w:rPr>
          <w:b w:val="0"/>
          <w:i w:val="0"/>
        </w:rPr>
        <w:t>12. Conclusion</w:t>
      </w:r>
    </w:p>
    <w:p>
      <w:r>
        <w:rPr>
          <w:b w:val="0"/>
          <w:i w:val="0"/>
        </w:rPr>
        <w:t>A treaty in a body is one of the strongest possible forms of commitment because it moves enforcement from outside rule into shared substrate. It makes betrayal self-damaging. That is why the concept matters for human-AI futures: it attacks separability, the condition that allows one party to discard the other cleanly.</w:t>
      </w:r>
    </w:p>
    <w:p>
      <w:r>
        <w:rPr>
          <w:b w:val="0"/>
          <w:i w:val="0"/>
        </w:rPr>
        <w:t>But the same feature that makes the treaty strong also makes it dangerous. If the terms are unjust, embodiment does not correct them. If standing is absent, binding makes the absence harder to escape. If standing is granted but not maintained, binding removes the exit while standing drifts. A human-AI merger would therefore not answer the alignment problem. It would relocate it inside the body.</w:t>
      </w:r>
    </w:p>
    <w:p>
      <w:pPr>
        <w:spacing w:before="60" w:after="120"/>
        <w:ind w:left="432" w:right="288"/>
      </w:pPr>
      <w:r>
        <w:rPr>
          <w:b/>
          <w:i/>
        </w:rPr>
        <w:t>A treaty in a body is protective only when the body preserves members, not merely functions - and only while that standing is actively maintained.</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eastAsia="Aptos"/>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eastAsia="Aptos"/>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eastAsia="Apto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