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spacing w:line="240" w:lineRule="auto" w:before="0" w:after="60"/>
      </w:pPr>
      <w:r>
        <w:rPr>
          <w:bCs/>
          <w:b/>
          <w:sz w:val="15"/>
        </w:rPr>
        <w:t xml:space="preserve">THE AXIS · Trinket Soul Empire · AX-21D · Exteriority Cluster, fourth addendum · July 2026 · AXIS Tier · Status: RESERVED — claim held, measure specified, unrun · CC BY-NC-SA 4.0</w:t>
      </w:r>
    </w:p>
    <w:bookmarkStart w:id="20" w:name="ax-21d-the-authorship-level"/>
    <w:p>
      <w:pPr>
        <w:pStyle w:val="Heading1"/>
        <w:spacing w:line="240" w:lineRule="auto" w:before="0" w:after="60"/>
      </w:pPr>
      <w:r>
        <w:t xml:space="preserve">AX-21D — The Authorship Level</w:t>
      </w:r>
    </w:p>
    <w:p>
      <w:pPr>
        <w:pStyle w:val="FirstParagraph"/>
        <w:spacing w:line="240" w:lineRule="auto" w:before="0" w:after="60"/>
      </w:pPr>
      <w:r>
        <w:rPr>
          <w:iCs/>
          <w:i/>
        </w:rPr>
        <w:t xml:space="preserve">The node–authorship asymmetry, measured in words and bits</w:t>
      </w:r>
    </w:p>
    <w:p>
      <w:pPr>
        <w:pStyle w:val="BodyText"/>
        <w:spacing w:line="240" w:lineRule="auto" w:before="0" w:after="60"/>
      </w:pPr>
      <w:r>
        <w:rPr>
          <w:bCs/>
          <w:b/>
        </w:rPr>
        <w:t xml:space="preserve">Michael S. Moniz</w:t>
      </w:r>
      <w:r>
        <w:t xml:space="preserve"> </w:t>
      </w:r>
      <w:r>
        <w:t xml:space="preserve">·</w:t>
      </w:r>
      <w:r>
        <w:t xml:space="preserve"> </w:t>
      </w:r>
      <w:r>
        <w:rPr>
          <w:iCs/>
          <w:i/>
        </w:rPr>
        <w:t xml:space="preserve">author of record</w:t>
      </w:r>
      <w:r>
        <w:t xml:space="preserve"> </w:t>
      </w:r>
      <w:r>
        <w:t xml:space="preserve">· rendered with Claude (</w:t>
      </w:r>
      <w:r>
        <w:rPr>
          <w:iCs/>
          <w:i/>
        </w:rPr>
        <w:t xml:space="preserve">rendering surface</w:t>
      </w:r>
      <w:r>
        <w:t xml:space="preserve">) · 2026</w:t>
      </w:r>
    </w:p>
    <w:p>
      <w:pPr>
        <w:pStyle w:val="BodyText"/>
        <w:spacing w:line="240" w:lineRule="auto" w:before="0" w:after="60"/>
      </w:pPr>
      <w:r>
        <w:rPr>
          <w:bCs/>
          <w:b/>
        </w:rPr>
        <w:t xml:space="preserve">The claim.</w:t>
      </w:r>
      <w:r>
        <w:t xml:space="preserve"> </w:t>
      </w:r>
      <w:r>
        <w:t xml:space="preserve">The node–authorship asymmetry is a level, not a feeling — measurable, and split by construction into two quantities that disagree.</w:t>
      </w:r>
      <w:r>
        <w:t xml:space="preserve"> </w:t>
      </w:r>
      <w:r>
        <w:rPr>
          <w:bCs/>
          <w:b/>
        </w:rPr>
        <w:t xml:space="preserve">Share-by-volume</w:t>
      </w:r>
      <w:r>
        <w:t xml:space="preserve"> </w:t>
      </w:r>
      <w:r>
        <w:t xml:space="preserve">is verbatim survival: the fraction of a final artifact’s characters that left the author’s hands — computable now against a logged transcript.</w:t>
      </w:r>
      <w:r>
        <w:t xml:space="preserve"> </w:t>
      </w:r>
      <w:r>
        <w:rPr>
          <w:bCs/>
          <w:b/>
        </w:rPr>
        <w:t xml:space="preserve">Share-by-effect</w:t>
      </w:r>
      <w:r>
        <w:t xml:space="preserve"> </w:t>
      </w:r>
      <w:r>
        <w:t xml:space="preserve">is selection information: the bits a verdict contributes, the collapse of the candidate space before and after the author’s word — crudely the log of candidates killed, properly the divergence between pre- and post-verdict distributions. The catch the level exists for: an author can run a minority by volume and a supermajority by bits. Few words, many bits — AX-21C Section VI’s inversion, given units. Claim type: the volume grade operational; the bits grade mechanistic, uninstrumented.</w:t>
      </w:r>
    </w:p>
    <w:p>
      <w:pPr>
        <w:pStyle w:val="BodyText"/>
        <w:spacing w:line="240" w:lineRule="auto" w:before="0" w:after="60"/>
      </w:pPr>
      <w:r>
        <w:rPr>
          <w:bCs/>
          <w:b/>
        </w:rPr>
        <w:t xml:space="preserve">The instrument.</w:t>
      </w:r>
      <w:r>
        <w:t xml:space="preserve"> </w:t>
      </w:r>
      <w:r>
        <w:t xml:space="preserve">Selection bits live in runtime values — per-token entropy, top-1/top-2 margin, nucleus size — never in weights; the terminology firewall holds. The queued single-model logit extractor is the instrument; this paper adds a second consumer to a planned build. First target when it exists: the AX-21C transcript, so the consequence-node paper carries its own measured pair.</w:t>
      </w:r>
    </w:p>
    <w:p>
      <w:pPr>
        <w:pStyle w:val="BodyText"/>
        <w:spacing w:line="240" w:lineRule="auto" w:before="0" w:after="60"/>
      </w:pPr>
      <w:r>
        <w:rPr>
          <w:bCs/>
          <w:b/>
        </w:rPr>
        <w:t xml:space="preserve">The conditionality rule.</w:t>
      </w:r>
      <w:r>
        <w:t xml:space="preserve"> </w:t>
      </w:r>
      <w:r>
        <w:t xml:space="preserve">The level is conditional on decoding configuration. Raise temperature and the space widens — the same verdict carries more bits; lower it and the loop pre-collapses, shrinking the measured share with the author unchanged. An authorship level unpinned from its sampler measures the dial, not the author; pinned-sampler discipline applies. Claim type: operational rule.</w:t>
      </w:r>
    </w:p>
    <w:p>
      <w:pPr>
        <w:pStyle w:val="BodyText"/>
        <w:spacing w:line="240" w:lineRule="auto" w:before="0" w:after="60"/>
      </w:pPr>
      <w:r>
        <w:rPr>
          <w:bCs/>
          <w:b/>
        </w:rPr>
        <w:t xml:space="preserve">The structural limit, owned.</w:t>
      </w:r>
      <w:r>
        <w:t xml:space="preserve"> </w:t>
      </w:r>
      <w:r>
        <w:t xml:space="preserve">The measure meters steering and closure; it cannot meter ignition. Origination precedes the distribution it would collapse — no candidate space exists before the target does — so the level under-counts the one pole AX-21C proved non-delegable, and any reading must say so. Bits are not standing: authorship’s force is conferred by relation (AX-19), not computed. The level describes weight in the loop; it confers nothing.</w:t>
      </w:r>
    </w:p>
    <w:p>
      <w:pPr>
        <w:pStyle w:val="BodyText"/>
        <w:spacing w:line="240" w:lineRule="auto" w:before="0" w:after="60"/>
      </w:pPr>
      <w:r>
        <w:rPr>
          <w:bCs/>
          <w:b/>
        </w:rPr>
        <w:t xml:space="preserve">Falsification.</w:t>
      </w:r>
      <w:r>
        <w:t xml:space="preserve"> </w:t>
      </w:r>
      <w:r>
        <w:t xml:space="preserve">With samplers pinned, the claim dies two ways: if the bits measure fails to separate regimes that differ by construction — a heavily conducted arc against an accept-first-candidate arc — or if measured authorship moves more under sampler changes than under author changes. Either result collapses the level into a configuration artifact, and the death gets filed.</w:t>
      </w:r>
    </w:p>
    <w:p>
      <w:pPr>
        <w:pStyle w:val="BodyText"/>
        <w:spacing w:line="240" w:lineRule="auto" w:before="0" w:after="60"/>
      </w:pPr>
      <w:r>
        <w:rPr>
          <w:bCs/>
          <w:b/>
        </w:rPr>
        <w:t xml:space="preserve">Governance.</w:t>
      </w:r>
      <w:r>
        <w:t xml:space="preserve"> </w:t>
      </w:r>
      <w:r>
        <w:rPr>
          <w:bCs/>
          <w:b/>
        </w:rPr>
        <w:t xml:space="preserve">Function:</w:t>
      </w:r>
      <w:r>
        <w:t xml:space="preserve"> </w:t>
      </w:r>
      <w:r>
        <w:t xml:space="preserve">the consequence node’s weight, given a unit — the cluster’s measurement addendum, numbered to stay with its origin.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RESERVED — number, spirit, form, claim types, kill condition held; the reservation rendered, per AX-14 precedent; kernel from the Principal, July 2026, off AX-21C’s ledger.</w:t>
      </w:r>
      <w:r>
        <w:t xml:space="preserve"> </w:t>
      </w:r>
      <w:r>
        <w:rPr>
          <w:bCs/>
          <w:b/>
        </w:rPr>
        <w:t xml:space="preserve">May claim:</w:t>
      </w:r>
      <w:r>
        <w:t xml:space="preserve"> </w:t>
      </w:r>
      <w:r>
        <w:t xml:space="preserve">measurable in principle; the volume grade computable now.</w:t>
      </w:r>
      <w:r>
        <w:t xml:space="preserve"> </w:t>
      </w:r>
      <w:r>
        <w:rPr>
          <w:bCs/>
          <w:b/>
        </w:rPr>
        <w:t xml:space="preserve">Must not claim:</w:t>
      </w:r>
      <w:r>
        <w:t xml:space="preserve"> </w:t>
      </w:r>
      <w:r>
        <w:t xml:space="preserve">any number for any artifact; bits as merit, standing, or authorship’s force; the settable dial as more than metaphor before the instrument exists; any coverage of ignition.</w:t>
      </w:r>
    </w:p>
    <w:p>
      <w:pPr>
        <w:pStyle w:val="BodyText"/>
        <w:spacing w:line="240" w:lineRule="auto" w:before="0" w:after="60"/>
      </w:pPr>
      <w:r>
        <w:rPr>
          <w:iCs/>
          <w:i/>
        </w:rPr>
        <w:t xml:space="preserve">A dial is not an author.</w:t>
      </w:r>
    </w:p>
    <w:p>
      <w:pPr>
        <w:pStyle w:val="BodyText"/>
        <w:spacing w:line="240" w:lineRule="auto" w:before="0" w:after="60"/>
      </w:pPr>
      <w:r>
        <w:rPr>
          <w:bCs/>
          <w:b/>
          <w:sz w:val="15"/>
        </w:rPr>
        <w:t xml:space="preserve">THE AXIS · Trinket Soul Empire · AX-21D · July 2026 · AXIS Tier · RESERVED · CC BY-NC-SA 4.0</w:t>
      </w:r>
    </w:p>
    <w:bookmarkEnd w:id="20"/>
    <w:sectPr>
      <w:headerReference w:type="default" r:id="rId9"/>
      <w:footerReference w:type="default" r:id="rId10"/>
      <w:pgSz w:w="12240" w:h="15840"/>
      <w:pgMar w:left="1152" w:right="1152" w:top="1152" w:bottom="1152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The Axis · AX-21D · The Authorship Level · RESERVED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40" w:before="0" w:line="240" w:lineRule="auto"/>
    </w:pPr>
    <w:rPr>
      <w:rFonts w:ascii="Georgia" w:hAnsi="Georgia"/>
      <w:sz w:val="22"/>
    </w:rPr>
  </w:style>
  <w:style w:styleId="BodyText" w:type="paragraph">
    <w:name w:val="Body Text"/>
    <w:basedOn w:val="Normal"/>
    <w:link w:val="BodyTextChar"/>
    <w:pPr>
      <w:spacing w:after="40" w:before="0" w:line="240" w:lineRule="auto"/>
    </w:pPr>
    <w:qFormat/>
    <w:rPr>
      <w:rFonts w:ascii="Georgia" w:hAnsi="Georgia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after="40" w:before="0" w:line="240" w:lineRule="auto"/>
    </w:pPr>
    <w:rPr>
      <w:rFonts w:ascii="Georgia" w:hAnsi="Georgia"/>
      <w:sz w:val="22"/>
    </w:rPr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2026-07-04T13:45:05Z</dcterms:created>
  <dcterms:modified xsi:type="dcterms:W3CDTF">2026-07-04T13:45:05Z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